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488B" w14:textId="77777777" w:rsidR="001770E8" w:rsidRPr="001770E8" w:rsidRDefault="004B333F" w:rsidP="001770E8">
      <w:pPr>
        <w:ind w:left="1440" w:firstLine="720"/>
        <w:rPr>
          <w:rFonts w:ascii="DokChampa" w:hAnsi="DokChampa" w:cs="DokChampa"/>
          <w:b/>
          <w:color w:val="002060"/>
          <w:sz w:val="20"/>
          <w:szCs w:val="20"/>
          <w:u w:val="single"/>
        </w:rPr>
      </w:pPr>
      <w:r w:rsidRPr="00A832EB">
        <w:rPr>
          <w:rFonts w:cstheme="minorHAnsi"/>
          <w:b/>
          <w:color w:val="002060"/>
          <w:sz w:val="36"/>
          <w:szCs w:val="36"/>
          <w:u w:val="single"/>
        </w:rPr>
        <w:t>ASPIRE</w:t>
      </w:r>
      <w:r w:rsidR="00E2380F" w:rsidRPr="00A832EB">
        <w:rPr>
          <w:rFonts w:cstheme="minorHAnsi"/>
          <w:b/>
          <w:color w:val="002060"/>
          <w:sz w:val="36"/>
          <w:szCs w:val="36"/>
          <w:u w:val="single"/>
        </w:rPr>
        <w:t xml:space="preserve"> Measures</w:t>
      </w:r>
      <w:r w:rsidR="00D24A9D" w:rsidRPr="00A832EB">
        <w:rPr>
          <w:rFonts w:cstheme="minorHAnsi"/>
          <w:b/>
          <w:color w:val="002060"/>
          <w:sz w:val="36"/>
          <w:szCs w:val="36"/>
          <w:u w:val="single"/>
        </w:rPr>
        <w:t xml:space="preserve"> </w:t>
      </w:r>
      <w:r w:rsidRPr="00A832EB">
        <w:rPr>
          <w:rFonts w:cstheme="minorHAnsi"/>
          <w:b/>
          <w:color w:val="002060"/>
          <w:sz w:val="36"/>
          <w:szCs w:val="36"/>
          <w:u w:val="single"/>
        </w:rPr>
        <w:t>Provider Guide</w:t>
      </w:r>
      <w:r w:rsidR="00ED1A9E" w:rsidRPr="00A832EB">
        <w:rPr>
          <w:rFonts w:cstheme="minorHAnsi"/>
          <w:b/>
          <w:color w:val="002060"/>
          <w:sz w:val="36"/>
          <w:szCs w:val="36"/>
          <w:u w:val="single"/>
        </w:rPr>
        <w:t xml:space="preserve">: </w:t>
      </w:r>
      <w:r w:rsidR="00543D66">
        <w:rPr>
          <w:rFonts w:cstheme="minorHAnsi"/>
          <w:b/>
          <w:color w:val="002060"/>
          <w:sz w:val="36"/>
          <w:szCs w:val="36"/>
          <w:u w:val="single"/>
        </w:rPr>
        <w:t>2020</w:t>
      </w:r>
    </w:p>
    <w:p w14:paraId="1BC0B30C" w14:textId="77777777" w:rsidR="005D3AF7" w:rsidRDefault="005D3AF7" w:rsidP="005D3AF7">
      <w:pPr>
        <w:pStyle w:val="ListParagraph"/>
        <w:spacing w:before="240" w:line="240" w:lineRule="auto"/>
        <w:rPr>
          <w:rFonts w:cstheme="minorHAnsi"/>
          <w:b/>
          <w:sz w:val="24"/>
          <w:szCs w:val="24"/>
        </w:rPr>
      </w:pPr>
    </w:p>
    <w:p w14:paraId="4AA18FD4" w14:textId="77777777" w:rsidR="005D3AF7" w:rsidRPr="00E34FA2" w:rsidRDefault="005D3AF7" w:rsidP="005D3AF7">
      <w:pPr>
        <w:pStyle w:val="ListParagraph"/>
        <w:numPr>
          <w:ilvl w:val="0"/>
          <w:numId w:val="7"/>
        </w:numPr>
        <w:spacing w:before="240" w:line="240" w:lineRule="auto"/>
        <w:rPr>
          <w:rFonts w:cstheme="minorHAnsi"/>
          <w:b/>
          <w:sz w:val="24"/>
          <w:szCs w:val="24"/>
        </w:rPr>
      </w:pPr>
      <w:r w:rsidRPr="00E34FA2">
        <w:rPr>
          <w:rFonts w:cstheme="minorHAnsi"/>
          <w:b/>
          <w:sz w:val="24"/>
          <w:szCs w:val="24"/>
        </w:rPr>
        <w:t xml:space="preserve">TOC 01: </w:t>
      </w:r>
      <w:r>
        <w:rPr>
          <w:b/>
          <w:sz w:val="24"/>
          <w:szCs w:val="24"/>
        </w:rPr>
        <w:t>P</w:t>
      </w:r>
      <w:r w:rsidRPr="00E34FA2">
        <w:rPr>
          <w:b/>
          <w:sz w:val="24"/>
          <w:szCs w:val="24"/>
        </w:rPr>
        <w:t>atients who undergo a procedure under anesthesia in which a permanent intraoperative anesthesia staff change occurred</w:t>
      </w:r>
      <w:r>
        <w:rPr>
          <w:b/>
          <w:sz w:val="24"/>
          <w:szCs w:val="24"/>
        </w:rPr>
        <w:t>.</w:t>
      </w:r>
    </w:p>
    <w:p w14:paraId="331781E5" w14:textId="77777777" w:rsidR="005D3AF7" w:rsidRPr="00E34FA2" w:rsidRDefault="005D3AF7" w:rsidP="005D3AF7">
      <w:pPr>
        <w:pStyle w:val="ListParagraph"/>
        <w:spacing w:before="24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p w14:paraId="27DF0BC7" w14:textId="77777777" w:rsidR="005D3AF7" w:rsidRPr="00A832EB" w:rsidRDefault="005D3AF7" w:rsidP="005D3AF7">
      <w:pPr>
        <w:pStyle w:val="ListParagraph"/>
        <w:numPr>
          <w:ilvl w:val="0"/>
          <w:numId w:val="7"/>
        </w:numPr>
        <w:spacing w:before="240" w:line="240" w:lineRule="auto"/>
        <w:rPr>
          <w:rFonts w:cstheme="minorHAnsi"/>
          <w:b/>
          <w:sz w:val="24"/>
          <w:szCs w:val="24"/>
        </w:rPr>
      </w:pPr>
      <w:r w:rsidRPr="00A832EB">
        <w:rPr>
          <w:rFonts w:cstheme="minorHAnsi"/>
          <w:b/>
          <w:sz w:val="24"/>
          <w:szCs w:val="24"/>
        </w:rPr>
        <w:t>TOC 02: All patients receiving anesthesia care and admitted to PACU receive a formal transfer of care.</w:t>
      </w:r>
    </w:p>
    <w:p w14:paraId="32D3A61D" w14:textId="77777777" w:rsidR="005D3AF7" w:rsidRDefault="005D3AF7" w:rsidP="005D3AF7">
      <w:pPr>
        <w:pStyle w:val="ListParagraph"/>
        <w:spacing w:before="240" w:line="240" w:lineRule="auto"/>
        <w:rPr>
          <w:rFonts w:cstheme="minorHAnsi"/>
          <w:b/>
          <w:sz w:val="24"/>
          <w:szCs w:val="24"/>
        </w:rPr>
      </w:pPr>
    </w:p>
    <w:p w14:paraId="7C9871AF" w14:textId="77777777" w:rsidR="005D3AF7" w:rsidRDefault="005D3AF7" w:rsidP="005D3AF7">
      <w:pPr>
        <w:pStyle w:val="ListParagraph"/>
        <w:numPr>
          <w:ilvl w:val="0"/>
          <w:numId w:val="9"/>
        </w:numPr>
        <w:spacing w:before="240" w:line="240" w:lineRule="auto"/>
        <w:rPr>
          <w:rFonts w:cstheme="minorHAnsi"/>
          <w:b/>
          <w:sz w:val="24"/>
          <w:szCs w:val="24"/>
        </w:rPr>
      </w:pPr>
      <w:r w:rsidRPr="00A832EB">
        <w:rPr>
          <w:rFonts w:cstheme="minorHAnsi"/>
          <w:b/>
          <w:sz w:val="24"/>
          <w:szCs w:val="24"/>
        </w:rPr>
        <w:t>TOC 03: All patients receiving anesthesia care and admitted to ICU receive a formal transfer of care.</w:t>
      </w:r>
    </w:p>
    <w:p w14:paraId="7F4E4DE4" w14:textId="77777777" w:rsidR="005865C1" w:rsidRPr="001E1B38" w:rsidRDefault="005865C1" w:rsidP="00A832EB">
      <w:pPr>
        <w:pStyle w:val="ListParagraph"/>
        <w:spacing w:before="240" w:line="240" w:lineRule="auto"/>
        <w:ind w:left="1440"/>
        <w:rPr>
          <w:rFonts w:cstheme="minorHAnsi"/>
          <w:b/>
          <w:sz w:val="24"/>
          <w:szCs w:val="24"/>
        </w:rPr>
      </w:pPr>
    </w:p>
    <w:p w14:paraId="7A0F25D3" w14:textId="77777777" w:rsidR="000B0CC0" w:rsidRDefault="00E2380F" w:rsidP="000B0CC0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  <w:b/>
          <w:sz w:val="24"/>
          <w:szCs w:val="24"/>
        </w:rPr>
      </w:pPr>
      <w:proofErr w:type="spellStart"/>
      <w:r w:rsidRPr="00A832EB">
        <w:rPr>
          <w:rFonts w:cstheme="minorHAnsi"/>
          <w:b/>
          <w:sz w:val="24"/>
          <w:szCs w:val="24"/>
        </w:rPr>
        <w:t>Pul</w:t>
      </w:r>
      <w:proofErr w:type="spellEnd"/>
      <w:r w:rsidRPr="00A832EB">
        <w:rPr>
          <w:rFonts w:cstheme="minorHAnsi"/>
          <w:b/>
          <w:sz w:val="24"/>
          <w:szCs w:val="24"/>
        </w:rPr>
        <w:t xml:space="preserve"> 1:</w:t>
      </w:r>
      <w:r w:rsidR="00B264B3" w:rsidRPr="00A832EB">
        <w:rPr>
          <w:rFonts w:cstheme="minorHAnsi"/>
          <w:b/>
          <w:sz w:val="24"/>
          <w:szCs w:val="24"/>
        </w:rPr>
        <w:t xml:space="preserve"> </w:t>
      </w:r>
      <w:r w:rsidR="00922188" w:rsidRPr="00A832EB">
        <w:rPr>
          <w:rFonts w:cstheme="minorHAnsi"/>
          <w:b/>
          <w:sz w:val="24"/>
          <w:szCs w:val="24"/>
        </w:rPr>
        <w:t>Median t</w:t>
      </w:r>
      <w:r w:rsidR="00B264B3" w:rsidRPr="00A832EB">
        <w:rPr>
          <w:rFonts w:cstheme="minorHAnsi"/>
          <w:b/>
          <w:sz w:val="24"/>
          <w:szCs w:val="24"/>
        </w:rPr>
        <w:t>idal volume</w:t>
      </w:r>
      <w:r w:rsidR="00127A97" w:rsidRPr="00A832EB">
        <w:rPr>
          <w:rFonts w:cstheme="minorHAnsi"/>
          <w:b/>
          <w:sz w:val="24"/>
          <w:szCs w:val="24"/>
        </w:rPr>
        <w:t xml:space="preserve"> &lt; 10ml/kg IBW</w:t>
      </w:r>
      <w:r w:rsidR="005F7FA7" w:rsidRPr="00A832EB">
        <w:rPr>
          <w:rFonts w:cstheme="minorHAnsi"/>
          <w:b/>
          <w:sz w:val="24"/>
          <w:szCs w:val="24"/>
        </w:rPr>
        <w:t xml:space="preserve">, ET </w:t>
      </w:r>
      <w:r w:rsidR="002C7C12" w:rsidRPr="00A832EB">
        <w:rPr>
          <w:rFonts w:cstheme="minorHAnsi"/>
          <w:b/>
          <w:sz w:val="24"/>
          <w:szCs w:val="24"/>
        </w:rPr>
        <w:t>&amp; PPV PIP&gt;6 on vent</w:t>
      </w:r>
      <w:r w:rsidRPr="00A832EB">
        <w:rPr>
          <w:rFonts w:cstheme="minorHAnsi"/>
          <w:b/>
          <w:sz w:val="24"/>
          <w:szCs w:val="24"/>
        </w:rPr>
        <w:t>.</w:t>
      </w:r>
      <w:r w:rsidR="002C7C12" w:rsidRPr="00A832EB">
        <w:rPr>
          <w:rFonts w:cstheme="minorHAnsi"/>
          <w:b/>
          <w:sz w:val="24"/>
          <w:szCs w:val="24"/>
        </w:rPr>
        <w:t xml:space="preserve"> </w:t>
      </w:r>
    </w:p>
    <w:p w14:paraId="322B158D" w14:textId="77777777" w:rsidR="00801868" w:rsidRPr="000B0CC0" w:rsidRDefault="002C7C12" w:rsidP="000B0CC0">
      <w:pPr>
        <w:pStyle w:val="ListParagraph"/>
        <w:spacing w:before="240" w:line="240" w:lineRule="auto"/>
        <w:rPr>
          <w:rFonts w:cstheme="minorHAnsi"/>
          <w:b/>
          <w:sz w:val="24"/>
          <w:szCs w:val="24"/>
        </w:rPr>
      </w:pPr>
      <w:r w:rsidRPr="000B0CC0">
        <w:rPr>
          <w:rFonts w:cstheme="minorHAnsi"/>
          <w:b/>
          <w:color w:val="365F91" w:themeColor="accent1" w:themeShade="BF"/>
          <w:sz w:val="20"/>
          <w:szCs w:val="20"/>
        </w:rPr>
        <w:t>Excludes LMA.</w:t>
      </w:r>
    </w:p>
    <w:p w14:paraId="39E68C7A" w14:textId="77777777" w:rsidR="00801868" w:rsidRPr="00A832EB" w:rsidRDefault="00801868" w:rsidP="00A832EB">
      <w:pPr>
        <w:pStyle w:val="ListParagraph"/>
        <w:spacing w:before="240" w:line="240" w:lineRule="auto"/>
        <w:ind w:left="1440"/>
        <w:rPr>
          <w:rFonts w:cstheme="minorHAnsi"/>
          <w:b/>
          <w:color w:val="365F91" w:themeColor="accent1" w:themeShade="BF"/>
          <w:sz w:val="24"/>
          <w:szCs w:val="24"/>
        </w:rPr>
      </w:pPr>
    </w:p>
    <w:p w14:paraId="5CA7FE62" w14:textId="77777777" w:rsidR="000B0CC0" w:rsidRDefault="00801868" w:rsidP="000B0CC0">
      <w:pPr>
        <w:pStyle w:val="ListParagraph"/>
        <w:numPr>
          <w:ilvl w:val="0"/>
          <w:numId w:val="8"/>
        </w:numPr>
        <w:spacing w:before="240" w:line="240" w:lineRule="auto"/>
        <w:rPr>
          <w:rFonts w:cstheme="minorHAnsi"/>
          <w:b/>
          <w:sz w:val="24"/>
          <w:szCs w:val="24"/>
        </w:rPr>
      </w:pPr>
      <w:proofErr w:type="spellStart"/>
      <w:r w:rsidRPr="00A832EB">
        <w:rPr>
          <w:rFonts w:cstheme="minorHAnsi"/>
          <w:b/>
          <w:sz w:val="24"/>
          <w:szCs w:val="24"/>
        </w:rPr>
        <w:t>Pul</w:t>
      </w:r>
      <w:proofErr w:type="spellEnd"/>
      <w:r w:rsidRPr="00A832EB">
        <w:rPr>
          <w:rFonts w:cstheme="minorHAnsi"/>
          <w:b/>
          <w:sz w:val="24"/>
          <w:szCs w:val="24"/>
        </w:rPr>
        <w:t xml:space="preserve"> 2: Median tidal volume &lt; 8ml/kg IBW, ET &amp; PPV PIP&gt;6 on vent.</w:t>
      </w:r>
    </w:p>
    <w:p w14:paraId="33D6DC2E" w14:textId="77777777" w:rsidR="00801868" w:rsidRPr="000B0CC0" w:rsidRDefault="00801868" w:rsidP="000B0CC0">
      <w:pPr>
        <w:pStyle w:val="ListParagraph"/>
        <w:spacing w:before="240" w:line="240" w:lineRule="auto"/>
        <w:rPr>
          <w:rFonts w:cstheme="minorHAnsi"/>
          <w:b/>
          <w:sz w:val="24"/>
          <w:szCs w:val="24"/>
        </w:rPr>
      </w:pPr>
      <w:r w:rsidRPr="000B0CC0">
        <w:rPr>
          <w:rFonts w:cstheme="minorHAnsi"/>
          <w:b/>
          <w:color w:val="365F91" w:themeColor="accent1" w:themeShade="BF"/>
          <w:sz w:val="20"/>
          <w:szCs w:val="20"/>
        </w:rPr>
        <w:t>Excludes LMA</w:t>
      </w:r>
    </w:p>
    <w:p w14:paraId="54C99DBC" w14:textId="77777777" w:rsidR="00F92378" w:rsidRPr="00A832EB" w:rsidRDefault="00F92378" w:rsidP="00F92378">
      <w:pPr>
        <w:pStyle w:val="ListParagraph"/>
        <w:spacing w:before="240" w:line="240" w:lineRule="auto"/>
        <w:ind w:left="1440"/>
        <w:rPr>
          <w:rFonts w:cstheme="minorHAnsi"/>
          <w:b/>
          <w:color w:val="95B3D7" w:themeColor="accent1" w:themeTint="99"/>
          <w:sz w:val="24"/>
          <w:szCs w:val="24"/>
        </w:rPr>
      </w:pPr>
    </w:p>
    <w:p w14:paraId="55B52B02" w14:textId="77777777" w:rsidR="000B0CC0" w:rsidRDefault="0034164C" w:rsidP="000B0CC0">
      <w:pPr>
        <w:pStyle w:val="ListParagraph"/>
        <w:numPr>
          <w:ilvl w:val="0"/>
          <w:numId w:val="8"/>
        </w:numPr>
        <w:spacing w:before="240" w:line="240" w:lineRule="auto"/>
        <w:rPr>
          <w:rFonts w:cstheme="minorHAnsi"/>
          <w:b/>
          <w:sz w:val="24"/>
          <w:szCs w:val="24"/>
        </w:rPr>
      </w:pPr>
      <w:proofErr w:type="spellStart"/>
      <w:r w:rsidRPr="00A832EB">
        <w:rPr>
          <w:rFonts w:cstheme="minorHAnsi"/>
          <w:b/>
          <w:sz w:val="24"/>
          <w:szCs w:val="24"/>
        </w:rPr>
        <w:t>Pul</w:t>
      </w:r>
      <w:proofErr w:type="spellEnd"/>
      <w:r w:rsidRPr="00A832EB">
        <w:rPr>
          <w:rFonts w:cstheme="minorHAnsi"/>
          <w:b/>
          <w:sz w:val="24"/>
          <w:szCs w:val="24"/>
        </w:rPr>
        <w:t xml:space="preserve"> 3: </w:t>
      </w:r>
      <w:r w:rsidRPr="00A832EB">
        <w:rPr>
          <w:rFonts w:cstheme="minorHAnsi"/>
          <w:b/>
          <w:sz w:val="24"/>
          <w:szCs w:val="24"/>
          <w:shd w:val="clear" w:color="auto" w:fill="FFFFFF"/>
        </w:rPr>
        <w:t>Percentage of cases in which Positive End Expiratory Pressure (PEEP) is used.</w:t>
      </w:r>
    </w:p>
    <w:p w14:paraId="223FD348" w14:textId="77777777" w:rsidR="00A832EB" w:rsidRPr="000B0CC0" w:rsidRDefault="00A832EB" w:rsidP="000B0CC0">
      <w:pPr>
        <w:pStyle w:val="ListParagraph"/>
        <w:spacing w:before="240" w:line="240" w:lineRule="auto"/>
        <w:rPr>
          <w:rFonts w:cstheme="minorHAnsi"/>
          <w:b/>
          <w:sz w:val="24"/>
          <w:szCs w:val="24"/>
        </w:rPr>
      </w:pPr>
      <w:r w:rsidRPr="000B0CC0">
        <w:rPr>
          <w:rFonts w:cstheme="minorHAnsi"/>
          <w:b/>
          <w:color w:val="365F91" w:themeColor="accent1" w:themeShade="BF"/>
          <w:sz w:val="20"/>
          <w:szCs w:val="20"/>
        </w:rPr>
        <w:t>(as defined by median PEEP ≥ 2)</w:t>
      </w:r>
    </w:p>
    <w:p w14:paraId="059925AF" w14:textId="77777777" w:rsidR="0086792A" w:rsidRPr="004170EC" w:rsidRDefault="0086792A" w:rsidP="00A832EB">
      <w:pPr>
        <w:pStyle w:val="ListParagraph"/>
        <w:spacing w:before="240" w:line="240" w:lineRule="auto"/>
        <w:rPr>
          <w:rFonts w:cstheme="minorHAnsi"/>
          <w:b/>
          <w:color w:val="365F91" w:themeColor="accent1" w:themeShade="BF"/>
          <w:sz w:val="24"/>
          <w:szCs w:val="24"/>
        </w:rPr>
      </w:pPr>
    </w:p>
    <w:p w14:paraId="5F476AB6" w14:textId="77777777" w:rsidR="000B0CC0" w:rsidRDefault="00E2380F" w:rsidP="000B0CC0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  <w:b/>
          <w:sz w:val="24"/>
          <w:szCs w:val="24"/>
        </w:rPr>
      </w:pPr>
      <w:r w:rsidRPr="00A832EB">
        <w:rPr>
          <w:rFonts w:cstheme="minorHAnsi"/>
          <w:b/>
          <w:sz w:val="24"/>
          <w:szCs w:val="24"/>
        </w:rPr>
        <w:t>Temp 1:</w:t>
      </w:r>
      <w:r w:rsidR="00AB5615" w:rsidRPr="00A832EB">
        <w:rPr>
          <w:rFonts w:cstheme="minorHAnsi"/>
          <w:b/>
          <w:sz w:val="24"/>
          <w:szCs w:val="24"/>
        </w:rPr>
        <w:t xml:space="preserve"> Use of active </w:t>
      </w:r>
      <w:r w:rsidR="00B264B3" w:rsidRPr="00A832EB">
        <w:rPr>
          <w:rFonts w:cstheme="minorHAnsi"/>
          <w:b/>
          <w:sz w:val="24"/>
          <w:szCs w:val="24"/>
        </w:rPr>
        <w:t>warming (</w:t>
      </w:r>
      <w:r w:rsidR="00AB5615" w:rsidRPr="00A832EB">
        <w:rPr>
          <w:rFonts w:cstheme="minorHAnsi"/>
          <w:b/>
          <w:sz w:val="24"/>
          <w:szCs w:val="24"/>
        </w:rPr>
        <w:t>forced air)</w:t>
      </w:r>
      <w:r w:rsidR="005F7FA7" w:rsidRPr="00A832EB">
        <w:rPr>
          <w:rFonts w:cstheme="minorHAnsi"/>
          <w:b/>
          <w:sz w:val="24"/>
          <w:szCs w:val="24"/>
        </w:rPr>
        <w:t xml:space="preserve"> or </w:t>
      </w:r>
      <w:r w:rsidR="006F4B79" w:rsidRPr="00A832EB">
        <w:rPr>
          <w:rFonts w:cstheme="minorHAnsi"/>
          <w:b/>
          <w:sz w:val="24"/>
          <w:szCs w:val="24"/>
        </w:rPr>
        <w:t xml:space="preserve">core or peripheral site </w:t>
      </w:r>
      <w:r w:rsidRPr="00A832EB">
        <w:rPr>
          <w:rFonts w:cstheme="minorHAnsi"/>
          <w:b/>
          <w:sz w:val="24"/>
          <w:szCs w:val="24"/>
        </w:rPr>
        <w:t>temp</w:t>
      </w:r>
      <w:r w:rsidR="00442498" w:rsidRPr="00A832EB">
        <w:rPr>
          <w:rFonts w:cstheme="minorHAnsi"/>
          <w:b/>
          <w:sz w:val="24"/>
          <w:szCs w:val="24"/>
        </w:rPr>
        <w:t xml:space="preserve"> measure</w:t>
      </w:r>
      <w:r w:rsidR="00AB5615" w:rsidRPr="00A832EB">
        <w:rPr>
          <w:rFonts w:cstheme="minorHAnsi"/>
          <w:b/>
          <w:sz w:val="24"/>
          <w:szCs w:val="24"/>
        </w:rPr>
        <w:t xml:space="preserve"> </w:t>
      </w:r>
      <w:r w:rsidR="00B264B3" w:rsidRPr="00A832EB">
        <w:rPr>
          <w:rFonts w:cstheme="minorHAnsi"/>
          <w:b/>
          <w:sz w:val="24"/>
          <w:szCs w:val="24"/>
          <w:u w:val="single"/>
        </w:rPr>
        <w:t>&gt;</w:t>
      </w:r>
      <w:r w:rsidR="00B264B3" w:rsidRPr="00A832EB">
        <w:rPr>
          <w:rFonts w:cstheme="minorHAnsi"/>
          <w:b/>
          <w:sz w:val="24"/>
          <w:szCs w:val="24"/>
        </w:rPr>
        <w:t xml:space="preserve"> 36.0 C within 30 minutes of anesthesia end</w:t>
      </w:r>
      <w:r w:rsidRPr="00A832EB">
        <w:rPr>
          <w:rFonts w:cstheme="minorHAnsi"/>
          <w:b/>
          <w:sz w:val="24"/>
          <w:szCs w:val="24"/>
        </w:rPr>
        <w:t>.</w:t>
      </w:r>
      <w:r w:rsidR="00ED1A9E" w:rsidRPr="00A832EB">
        <w:rPr>
          <w:rFonts w:cstheme="minorHAnsi"/>
          <w:b/>
          <w:sz w:val="24"/>
          <w:szCs w:val="24"/>
        </w:rPr>
        <w:t xml:space="preserve"> </w:t>
      </w:r>
    </w:p>
    <w:p w14:paraId="51D5B48A" w14:textId="77777777" w:rsidR="005F7FA7" w:rsidRPr="000B0CC0" w:rsidRDefault="00ED1A9E" w:rsidP="000B0CC0">
      <w:pPr>
        <w:pStyle w:val="ListParagraph"/>
        <w:spacing w:before="240" w:line="240" w:lineRule="auto"/>
        <w:rPr>
          <w:rFonts w:cstheme="minorHAnsi"/>
          <w:b/>
          <w:sz w:val="24"/>
          <w:szCs w:val="24"/>
        </w:rPr>
      </w:pPr>
      <w:r w:rsidRPr="000B0CC0">
        <w:rPr>
          <w:rFonts w:cstheme="minorHAnsi"/>
          <w:b/>
          <w:color w:val="365F91" w:themeColor="accent1" w:themeShade="BF"/>
          <w:sz w:val="20"/>
          <w:szCs w:val="20"/>
        </w:rPr>
        <w:t xml:space="preserve">Includes </w:t>
      </w:r>
      <w:r w:rsidR="006F4B79" w:rsidRPr="000B0CC0">
        <w:rPr>
          <w:rFonts w:cstheme="minorHAnsi"/>
          <w:b/>
          <w:color w:val="365F91" w:themeColor="accent1" w:themeShade="BF"/>
          <w:sz w:val="20"/>
          <w:szCs w:val="20"/>
        </w:rPr>
        <w:t>GA or Neuraxial cases but NOT</w:t>
      </w:r>
      <w:r w:rsidRPr="000B0CC0">
        <w:rPr>
          <w:rFonts w:cstheme="minorHAnsi"/>
          <w:b/>
          <w:color w:val="365F91" w:themeColor="accent1" w:themeShade="BF"/>
          <w:sz w:val="20"/>
          <w:szCs w:val="20"/>
        </w:rPr>
        <w:t xml:space="preserve"> MAC cases. </w:t>
      </w:r>
      <w:r w:rsidR="006F4B79" w:rsidRPr="000B0CC0">
        <w:rPr>
          <w:rFonts w:cstheme="minorHAnsi"/>
          <w:b/>
          <w:color w:val="365F91" w:themeColor="accent1" w:themeShade="BF"/>
          <w:sz w:val="20"/>
          <w:szCs w:val="20"/>
        </w:rPr>
        <w:t xml:space="preserve">Cases </w:t>
      </w:r>
      <w:r w:rsidR="00564B3B" w:rsidRPr="000B0CC0">
        <w:rPr>
          <w:rFonts w:cstheme="minorHAnsi"/>
          <w:b/>
          <w:color w:val="365F91" w:themeColor="accent1" w:themeShade="BF"/>
          <w:sz w:val="20"/>
          <w:szCs w:val="20"/>
        </w:rPr>
        <w:t>60 minutes or longer</w:t>
      </w:r>
      <w:r w:rsidR="006F4B79" w:rsidRPr="000B0CC0">
        <w:rPr>
          <w:rFonts w:cstheme="minorHAnsi"/>
          <w:b/>
          <w:color w:val="365F91" w:themeColor="accent1" w:themeShade="BF"/>
          <w:sz w:val="20"/>
          <w:szCs w:val="20"/>
        </w:rPr>
        <w:t>.</w:t>
      </w:r>
    </w:p>
    <w:p w14:paraId="0E7BE59B" w14:textId="77777777" w:rsidR="005865C1" w:rsidRPr="00A832EB" w:rsidRDefault="005865C1" w:rsidP="00A832EB">
      <w:pPr>
        <w:pStyle w:val="ListParagraph"/>
        <w:spacing w:before="240" w:line="240" w:lineRule="auto"/>
        <w:ind w:left="1440"/>
        <w:rPr>
          <w:rFonts w:cstheme="minorHAnsi"/>
          <w:b/>
          <w:sz w:val="24"/>
          <w:szCs w:val="24"/>
        </w:rPr>
      </w:pPr>
    </w:p>
    <w:p w14:paraId="42242C1F" w14:textId="77777777" w:rsidR="000B0CC0" w:rsidRDefault="00E2380F" w:rsidP="000B0CC0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  <w:b/>
          <w:sz w:val="24"/>
          <w:szCs w:val="24"/>
        </w:rPr>
      </w:pPr>
      <w:r w:rsidRPr="00A832EB">
        <w:rPr>
          <w:rFonts w:cstheme="minorHAnsi"/>
          <w:b/>
          <w:sz w:val="24"/>
          <w:szCs w:val="24"/>
        </w:rPr>
        <w:t>Temp 2:</w:t>
      </w:r>
      <w:r w:rsidR="005F7FA7" w:rsidRPr="00A832EB">
        <w:rPr>
          <w:rFonts w:cstheme="minorHAnsi"/>
          <w:b/>
          <w:sz w:val="24"/>
          <w:szCs w:val="24"/>
        </w:rPr>
        <w:t xml:space="preserve"> Core Temp</w:t>
      </w:r>
      <w:r w:rsidR="00AB5615" w:rsidRPr="00A832EB">
        <w:rPr>
          <w:rFonts w:cstheme="minorHAnsi"/>
          <w:b/>
          <w:sz w:val="24"/>
          <w:szCs w:val="24"/>
        </w:rPr>
        <w:t xml:space="preserve"> source documented in assessment between case start and stop.</w:t>
      </w:r>
    </w:p>
    <w:p w14:paraId="00BD7FAD" w14:textId="77777777" w:rsidR="00564B3B" w:rsidRPr="000B0CC0" w:rsidRDefault="00442498" w:rsidP="000B0CC0">
      <w:pPr>
        <w:pStyle w:val="ListParagraph"/>
        <w:spacing w:before="240" w:line="240" w:lineRule="auto"/>
        <w:rPr>
          <w:rFonts w:cstheme="minorHAnsi"/>
          <w:b/>
          <w:sz w:val="24"/>
          <w:szCs w:val="24"/>
        </w:rPr>
      </w:pPr>
      <w:r w:rsidRPr="000B0CC0">
        <w:rPr>
          <w:rFonts w:cstheme="minorHAnsi"/>
          <w:b/>
          <w:color w:val="365F91" w:themeColor="accent1" w:themeShade="BF"/>
          <w:sz w:val="20"/>
          <w:szCs w:val="20"/>
        </w:rPr>
        <w:t>ONLY</w:t>
      </w:r>
      <w:r w:rsidR="006F4B79" w:rsidRPr="000B0CC0">
        <w:rPr>
          <w:rFonts w:cstheme="minorHAnsi"/>
          <w:b/>
          <w:color w:val="365F91" w:themeColor="accent1" w:themeShade="BF"/>
          <w:sz w:val="20"/>
          <w:szCs w:val="20"/>
        </w:rPr>
        <w:t xml:space="preserve"> GA cases.</w:t>
      </w:r>
    </w:p>
    <w:p w14:paraId="00D7BE3C" w14:textId="77777777" w:rsidR="00564B3B" w:rsidRPr="00A832EB" w:rsidRDefault="00564B3B" w:rsidP="00A832EB">
      <w:pPr>
        <w:pStyle w:val="ListParagraph"/>
        <w:spacing w:before="240" w:line="240" w:lineRule="auto"/>
        <w:ind w:left="1440"/>
        <w:rPr>
          <w:rFonts w:cstheme="minorHAnsi"/>
          <w:b/>
          <w:sz w:val="24"/>
          <w:szCs w:val="24"/>
        </w:rPr>
      </w:pPr>
    </w:p>
    <w:p w14:paraId="6FA9A19E" w14:textId="77777777" w:rsidR="000B0CC0" w:rsidRDefault="004170EC" w:rsidP="000B0CC0">
      <w:pPr>
        <w:pStyle w:val="ListParagraph"/>
        <w:numPr>
          <w:ilvl w:val="0"/>
          <w:numId w:val="5"/>
        </w:numPr>
        <w:spacing w:before="24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Temp 3: Temp between 36.0</w:t>
      </w:r>
      <w:r w:rsidR="00564B3B" w:rsidRPr="00A832EB">
        <w:rPr>
          <w:rFonts w:cstheme="minorHAnsi"/>
          <w:b/>
          <w:sz w:val="24"/>
          <w:szCs w:val="24"/>
        </w:rPr>
        <w:t>/</w:t>
      </w:r>
      <w:r w:rsidR="005B6984" w:rsidRPr="00A832E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96.8</w:t>
      </w:r>
      <w:r w:rsidR="00564B3B" w:rsidRPr="00A832EB">
        <w:rPr>
          <w:rFonts w:cstheme="minorHAnsi"/>
          <w:b/>
          <w:sz w:val="24"/>
          <w:szCs w:val="24"/>
        </w:rPr>
        <w:t xml:space="preserve"> is documented within 30 minutes immediately before or 15 minutes after anesthesia end time. </w:t>
      </w:r>
    </w:p>
    <w:p w14:paraId="59AA1AFA" w14:textId="6E605E98" w:rsidR="005865C1" w:rsidRDefault="00564B3B" w:rsidP="000B0CC0">
      <w:pPr>
        <w:pStyle w:val="ListParagraph"/>
        <w:spacing w:before="240" w:line="240" w:lineRule="auto"/>
        <w:rPr>
          <w:rFonts w:cstheme="minorHAnsi"/>
          <w:b/>
          <w:color w:val="365F91" w:themeColor="accent1" w:themeShade="BF"/>
          <w:sz w:val="20"/>
          <w:szCs w:val="20"/>
        </w:rPr>
      </w:pPr>
      <w:r w:rsidRPr="000B0CC0">
        <w:rPr>
          <w:rFonts w:cstheme="minorHAnsi"/>
          <w:b/>
          <w:color w:val="365F91" w:themeColor="accent1" w:themeShade="BF"/>
          <w:sz w:val="20"/>
          <w:szCs w:val="20"/>
        </w:rPr>
        <w:t>All GA and Neuraxial cases 60 minutes or longer.</w:t>
      </w:r>
    </w:p>
    <w:p w14:paraId="0219DB11" w14:textId="0CD17B4D" w:rsidR="008E401C" w:rsidRPr="008E401C" w:rsidRDefault="008E401C" w:rsidP="008E401C">
      <w:pPr>
        <w:pStyle w:val="ListParagraph"/>
        <w:numPr>
          <w:ilvl w:val="0"/>
          <w:numId w:val="5"/>
        </w:numPr>
        <w:spacing w:before="240" w:line="240" w:lineRule="auto"/>
        <w:rPr>
          <w:rFonts w:cstheme="minorHAnsi"/>
          <w:b/>
          <w:sz w:val="24"/>
          <w:szCs w:val="24"/>
        </w:rPr>
      </w:pPr>
      <w:r w:rsidRPr="008E401C">
        <w:rPr>
          <w:rFonts w:cstheme="minorHAnsi"/>
          <w:b/>
          <w:sz w:val="24"/>
          <w:szCs w:val="24"/>
        </w:rPr>
        <w:t xml:space="preserve">Temp 4: </w:t>
      </w:r>
      <w:r w:rsidRPr="008E401C">
        <w:rPr>
          <w:rFonts w:cstheme="minorHAnsi"/>
          <w:b/>
          <w:color w:val="333333"/>
          <w:sz w:val="24"/>
          <w:szCs w:val="24"/>
          <w:shd w:val="clear" w:color="auto" w:fill="FFFFFF"/>
        </w:rPr>
        <w:t>Percentage of patients &lt; 18 years old who undergo any procedure greater than 30 minutes and have a Median core/near core body temperature &gt; 36C (96.8F) </w:t>
      </w:r>
    </w:p>
    <w:p w14:paraId="6DD9BB9D" w14:textId="77777777" w:rsidR="000B0CC0" w:rsidRPr="008E401C" w:rsidRDefault="000B0CC0" w:rsidP="000B0CC0">
      <w:pPr>
        <w:pStyle w:val="ListParagraph"/>
        <w:spacing w:before="240" w:line="240" w:lineRule="auto"/>
        <w:rPr>
          <w:rFonts w:cstheme="minorHAnsi"/>
          <w:b/>
          <w:sz w:val="24"/>
          <w:szCs w:val="24"/>
        </w:rPr>
      </w:pPr>
    </w:p>
    <w:p w14:paraId="54FF6B39" w14:textId="77777777" w:rsidR="000B0CC0" w:rsidRDefault="001434E1" w:rsidP="000B0CC0">
      <w:pPr>
        <w:pStyle w:val="ListParagraph"/>
        <w:numPr>
          <w:ilvl w:val="0"/>
          <w:numId w:val="7"/>
        </w:numPr>
        <w:spacing w:before="240" w:line="240" w:lineRule="auto"/>
        <w:rPr>
          <w:rFonts w:cstheme="minorHAnsi"/>
          <w:b/>
          <w:sz w:val="24"/>
          <w:szCs w:val="24"/>
        </w:rPr>
      </w:pPr>
      <w:r w:rsidRPr="00A832EB">
        <w:rPr>
          <w:rFonts w:cstheme="minorHAnsi"/>
          <w:b/>
          <w:sz w:val="24"/>
          <w:szCs w:val="24"/>
        </w:rPr>
        <w:t>PONV 01</w:t>
      </w:r>
      <w:r w:rsidRPr="00A832EB">
        <w:rPr>
          <w:rFonts w:cstheme="minorHAnsi"/>
          <w:sz w:val="24"/>
          <w:szCs w:val="24"/>
        </w:rPr>
        <w:t xml:space="preserve">: </w:t>
      </w:r>
      <w:r w:rsidRPr="00A832EB">
        <w:rPr>
          <w:rFonts w:cstheme="minorHAnsi"/>
          <w:b/>
          <w:sz w:val="24"/>
          <w:szCs w:val="24"/>
        </w:rPr>
        <w:t>Patient receives combination therapy consisting of at least two prophylactic pharmacologic anti-emetic agents of different classes preoperatively or intraoperatively.</w:t>
      </w:r>
    </w:p>
    <w:p w14:paraId="65C146D7" w14:textId="77777777" w:rsidR="001434E1" w:rsidRPr="000B0CC0" w:rsidRDefault="001434E1" w:rsidP="000B0CC0">
      <w:pPr>
        <w:pStyle w:val="ListParagraph"/>
        <w:numPr>
          <w:ilvl w:val="0"/>
          <w:numId w:val="14"/>
        </w:numPr>
        <w:spacing w:before="240" w:line="240" w:lineRule="auto"/>
        <w:rPr>
          <w:rFonts w:cstheme="minorHAnsi"/>
          <w:b/>
          <w:sz w:val="24"/>
          <w:szCs w:val="24"/>
        </w:rPr>
      </w:pPr>
      <w:r w:rsidRPr="000B0CC0">
        <w:rPr>
          <w:rFonts w:cstheme="minorHAnsi"/>
          <w:b/>
          <w:color w:val="365F91" w:themeColor="accent1" w:themeShade="BF"/>
          <w:sz w:val="20"/>
          <w:szCs w:val="20"/>
        </w:rPr>
        <w:t xml:space="preserve"> Older receiving inhalational GA with 3 or more risk factors for PONV</w:t>
      </w:r>
    </w:p>
    <w:p w14:paraId="42C79DD7" w14:textId="77777777" w:rsidR="00B703DE" w:rsidRPr="001E1B38" w:rsidRDefault="00B703DE" w:rsidP="00A832EB">
      <w:pPr>
        <w:pStyle w:val="ListParagraph"/>
        <w:spacing w:before="240" w:line="240" w:lineRule="auto"/>
        <w:ind w:left="1440"/>
        <w:rPr>
          <w:rFonts w:cstheme="minorHAnsi"/>
          <w:b/>
          <w:color w:val="365F91" w:themeColor="accent1" w:themeShade="BF"/>
          <w:sz w:val="20"/>
          <w:szCs w:val="20"/>
        </w:rPr>
      </w:pPr>
    </w:p>
    <w:p w14:paraId="7EFF24FB" w14:textId="77777777" w:rsidR="000B0CC0" w:rsidRDefault="00B703DE" w:rsidP="000B0CC0">
      <w:pPr>
        <w:pStyle w:val="ListParagraph"/>
        <w:numPr>
          <w:ilvl w:val="0"/>
          <w:numId w:val="7"/>
        </w:numPr>
        <w:spacing w:before="240" w:line="240" w:lineRule="auto"/>
        <w:rPr>
          <w:rFonts w:cstheme="minorHAnsi"/>
          <w:b/>
          <w:sz w:val="24"/>
          <w:szCs w:val="24"/>
        </w:rPr>
      </w:pPr>
      <w:r w:rsidRPr="00A832EB">
        <w:rPr>
          <w:rFonts w:cstheme="minorHAnsi"/>
          <w:b/>
          <w:sz w:val="24"/>
          <w:szCs w:val="24"/>
        </w:rPr>
        <w:t>PONV 02: Patient receives combination therapy consisting of at least two prophylactic pharmacologic anti-emetic agents of different classes preoperatively or intraoperatively.</w:t>
      </w:r>
    </w:p>
    <w:p w14:paraId="1D3AB642" w14:textId="77777777" w:rsidR="00B703DE" w:rsidRPr="000B0CC0" w:rsidRDefault="00B703DE" w:rsidP="000B0CC0">
      <w:pPr>
        <w:pStyle w:val="ListParagraph"/>
        <w:spacing w:before="240" w:line="240" w:lineRule="auto"/>
        <w:rPr>
          <w:rFonts w:cstheme="minorHAnsi"/>
          <w:b/>
          <w:sz w:val="24"/>
          <w:szCs w:val="24"/>
        </w:rPr>
      </w:pPr>
      <w:r w:rsidRPr="000B0CC0">
        <w:rPr>
          <w:rFonts w:cstheme="minorHAnsi"/>
          <w:b/>
          <w:color w:val="365F91" w:themeColor="accent1" w:themeShade="BF"/>
          <w:sz w:val="20"/>
          <w:szCs w:val="20"/>
        </w:rPr>
        <w:t>Ages 3-17 receiving inhalational GA with 2 or more risk factors for PONV</w:t>
      </w:r>
    </w:p>
    <w:p w14:paraId="706ECC3A" w14:textId="77777777" w:rsidR="00E34FA2" w:rsidRPr="00A832EB" w:rsidRDefault="00E34FA2" w:rsidP="00E34FA2">
      <w:pPr>
        <w:pStyle w:val="ListParagraph"/>
        <w:spacing w:before="240" w:line="240" w:lineRule="auto"/>
        <w:ind w:left="1440"/>
        <w:rPr>
          <w:rFonts w:cstheme="minorHAnsi"/>
          <w:b/>
          <w:color w:val="365F91" w:themeColor="accent1" w:themeShade="BF"/>
          <w:sz w:val="24"/>
          <w:szCs w:val="24"/>
        </w:rPr>
      </w:pPr>
    </w:p>
    <w:p w14:paraId="659DCD7F" w14:textId="77777777" w:rsidR="00A47785" w:rsidRDefault="00984908" w:rsidP="00A47785">
      <w:pPr>
        <w:pStyle w:val="ListParagraph"/>
        <w:numPr>
          <w:ilvl w:val="0"/>
          <w:numId w:val="7"/>
        </w:numPr>
        <w:spacing w:before="24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PONV 03: Percentage of patients, regardless of age, who undergo a procedure and have a documented nausea/emesis occurrence posto0peratively or receive a rescue antiemetic during the immediate postoperative period.</w:t>
      </w:r>
    </w:p>
    <w:p w14:paraId="71E167DC" w14:textId="77777777" w:rsidR="00A47785" w:rsidRDefault="00A47785" w:rsidP="00A47785">
      <w:pPr>
        <w:pStyle w:val="ListParagraph"/>
        <w:spacing w:before="240" w:line="240" w:lineRule="auto"/>
        <w:rPr>
          <w:rFonts w:cstheme="minorHAnsi"/>
          <w:b/>
          <w:sz w:val="24"/>
          <w:szCs w:val="24"/>
        </w:rPr>
      </w:pPr>
    </w:p>
    <w:p w14:paraId="6F5A643F" w14:textId="77777777" w:rsidR="000B0CC0" w:rsidRDefault="00A47785" w:rsidP="000B0CC0">
      <w:pPr>
        <w:pStyle w:val="ListParagraph"/>
        <w:numPr>
          <w:ilvl w:val="0"/>
          <w:numId w:val="7"/>
        </w:numPr>
        <w:spacing w:before="240" w:line="240" w:lineRule="auto"/>
        <w:rPr>
          <w:rFonts w:cstheme="minorHAnsi"/>
          <w:b/>
          <w:sz w:val="24"/>
          <w:szCs w:val="24"/>
        </w:rPr>
      </w:pPr>
      <w:r w:rsidRPr="00A47785">
        <w:rPr>
          <w:rFonts w:cstheme="minorHAnsi"/>
          <w:b/>
          <w:sz w:val="24"/>
          <w:szCs w:val="24"/>
        </w:rPr>
        <w:t xml:space="preserve">Tran 1: HGB/HCT (any value) documented 90 minutes prior to transfusion and/or HGB/HCT 8/24 within 36 hours of the transfusion. </w:t>
      </w:r>
    </w:p>
    <w:p w14:paraId="79C4B281" w14:textId="77777777" w:rsidR="00A47785" w:rsidRPr="000B0CC0" w:rsidRDefault="00A47785" w:rsidP="000B0CC0">
      <w:pPr>
        <w:pStyle w:val="ListParagraph"/>
        <w:spacing w:before="240" w:line="240" w:lineRule="auto"/>
        <w:rPr>
          <w:rFonts w:cstheme="minorHAnsi"/>
          <w:b/>
          <w:sz w:val="24"/>
          <w:szCs w:val="24"/>
        </w:rPr>
      </w:pPr>
      <w:r w:rsidRPr="000B0CC0">
        <w:rPr>
          <w:rFonts w:cstheme="minorHAnsi"/>
          <w:b/>
          <w:color w:val="365F91" w:themeColor="accent1" w:themeShade="BF"/>
          <w:sz w:val="24"/>
          <w:szCs w:val="24"/>
        </w:rPr>
        <w:t>{</w:t>
      </w:r>
      <w:r w:rsidRPr="000B0CC0">
        <w:rPr>
          <w:rFonts w:cstheme="minorHAnsi"/>
          <w:b/>
          <w:color w:val="365F91" w:themeColor="accent1" w:themeShade="BF"/>
          <w:sz w:val="20"/>
          <w:szCs w:val="20"/>
        </w:rPr>
        <w:t xml:space="preserve">FYI always redraw a HGB/HCT (Hemi-q, </w:t>
      </w:r>
      <w:proofErr w:type="spellStart"/>
      <w:r w:rsidRPr="000B0CC0">
        <w:rPr>
          <w:rFonts w:cstheme="minorHAnsi"/>
          <w:b/>
          <w:color w:val="365F91" w:themeColor="accent1" w:themeShade="BF"/>
          <w:sz w:val="20"/>
          <w:szCs w:val="20"/>
        </w:rPr>
        <w:t>i</w:t>
      </w:r>
      <w:proofErr w:type="spellEnd"/>
      <w:r w:rsidRPr="000B0CC0">
        <w:rPr>
          <w:rFonts w:cstheme="minorHAnsi"/>
          <w:b/>
          <w:color w:val="365F91" w:themeColor="accent1" w:themeShade="BF"/>
          <w:sz w:val="20"/>
          <w:szCs w:val="20"/>
        </w:rPr>
        <w:t>-stat) in-between units and document results, in EPIC, prior to hanging a subsequent unit. No waiting for recirculation needed.</w:t>
      </w:r>
      <w:r w:rsidRPr="000B0CC0">
        <w:rPr>
          <w:rFonts w:cstheme="minorHAnsi"/>
          <w:b/>
          <w:sz w:val="20"/>
          <w:szCs w:val="20"/>
        </w:rPr>
        <w:t>}</w:t>
      </w:r>
    </w:p>
    <w:p w14:paraId="66A82B36" w14:textId="77777777" w:rsidR="00B9758E" w:rsidRDefault="00B9758E" w:rsidP="00B9758E">
      <w:pPr>
        <w:pStyle w:val="ListParagraph"/>
        <w:spacing w:before="240" w:line="240" w:lineRule="auto"/>
        <w:rPr>
          <w:rFonts w:cstheme="minorHAnsi"/>
          <w:b/>
          <w:sz w:val="24"/>
          <w:szCs w:val="24"/>
        </w:rPr>
      </w:pPr>
    </w:p>
    <w:p w14:paraId="65E3B7AE" w14:textId="77777777" w:rsidR="00B9758E" w:rsidRDefault="00B9758E" w:rsidP="00B9758E">
      <w:pPr>
        <w:pStyle w:val="ListParagraph"/>
        <w:spacing w:before="240" w:line="240" w:lineRule="auto"/>
        <w:rPr>
          <w:rFonts w:cstheme="minorHAnsi"/>
          <w:b/>
          <w:sz w:val="24"/>
          <w:szCs w:val="24"/>
        </w:rPr>
      </w:pPr>
    </w:p>
    <w:p w14:paraId="56B1EF6C" w14:textId="5C8E9B2B" w:rsidR="000B0CC0" w:rsidRPr="00B9758E" w:rsidRDefault="00A47785" w:rsidP="00B9758E">
      <w:pPr>
        <w:pStyle w:val="ListParagraph"/>
        <w:numPr>
          <w:ilvl w:val="0"/>
          <w:numId w:val="7"/>
        </w:numPr>
        <w:spacing w:before="240" w:line="240" w:lineRule="auto"/>
        <w:rPr>
          <w:rFonts w:cstheme="minorHAnsi"/>
          <w:b/>
          <w:sz w:val="24"/>
          <w:szCs w:val="24"/>
        </w:rPr>
      </w:pPr>
      <w:r w:rsidRPr="00B9758E">
        <w:rPr>
          <w:rFonts w:cstheme="minorHAnsi"/>
          <w:b/>
          <w:sz w:val="24"/>
          <w:szCs w:val="24"/>
        </w:rPr>
        <w:t xml:space="preserve">Tran 2: HGB/HCT </w:t>
      </w:r>
      <w:r w:rsidRPr="00B9758E">
        <w:rPr>
          <w:rFonts w:cstheme="minorHAnsi"/>
          <w:b/>
          <w:sz w:val="24"/>
          <w:szCs w:val="24"/>
          <w:u w:val="single"/>
        </w:rPr>
        <w:t>&lt;</w:t>
      </w:r>
      <w:r w:rsidRPr="00B9758E">
        <w:rPr>
          <w:rFonts w:cstheme="minorHAnsi"/>
          <w:b/>
          <w:sz w:val="24"/>
          <w:szCs w:val="24"/>
        </w:rPr>
        <w:t xml:space="preserve">10/30 post transfusion. </w:t>
      </w:r>
    </w:p>
    <w:p w14:paraId="033AEF1C" w14:textId="77777777" w:rsidR="000B0CC0" w:rsidRDefault="00A47785" w:rsidP="000B0CC0">
      <w:pPr>
        <w:pStyle w:val="ListParagraph"/>
        <w:spacing w:before="240" w:line="240" w:lineRule="auto"/>
        <w:rPr>
          <w:rFonts w:cstheme="minorHAnsi"/>
          <w:b/>
          <w:sz w:val="24"/>
          <w:szCs w:val="24"/>
        </w:rPr>
      </w:pPr>
      <w:r w:rsidRPr="000B0CC0">
        <w:rPr>
          <w:rFonts w:cstheme="minorHAnsi"/>
          <w:b/>
          <w:color w:val="365F91" w:themeColor="accent1" w:themeShade="BF"/>
          <w:sz w:val="20"/>
          <w:szCs w:val="20"/>
        </w:rPr>
        <w:t xml:space="preserve">Considerations: All hemoglobin/hematocrit lab values drawn after the last transfusion and within 18 hours after anesthesia end will be evaluated. If the lowest of these values is ≤10g/dL or ≤30%, the case will pass. </w:t>
      </w:r>
    </w:p>
    <w:p w14:paraId="06F3B5BB" w14:textId="77777777" w:rsidR="000B0CC0" w:rsidRDefault="00A47785" w:rsidP="000B0CC0">
      <w:pPr>
        <w:pStyle w:val="ListParagraph"/>
        <w:spacing w:before="240" w:line="240" w:lineRule="auto"/>
        <w:rPr>
          <w:rFonts w:cstheme="minorHAnsi"/>
          <w:b/>
          <w:sz w:val="24"/>
          <w:szCs w:val="24"/>
        </w:rPr>
      </w:pPr>
      <w:r w:rsidRPr="00CE01DC">
        <w:rPr>
          <w:rFonts w:cstheme="minorHAnsi"/>
          <w:b/>
          <w:color w:val="365F91" w:themeColor="accent1" w:themeShade="BF"/>
          <w:sz w:val="20"/>
          <w:szCs w:val="20"/>
        </w:rPr>
        <w:t xml:space="preserve">If the hemoglobin or hematocrit at the time of transfusion (within 90 minutes before) is less than or equal to 8/24, the case will pass. </w:t>
      </w:r>
    </w:p>
    <w:p w14:paraId="4E8F6F06" w14:textId="77777777" w:rsidR="00A47785" w:rsidRPr="000B0CC0" w:rsidRDefault="00A47785" w:rsidP="000B0CC0">
      <w:pPr>
        <w:pStyle w:val="ListParagraph"/>
        <w:spacing w:before="240" w:line="240" w:lineRule="auto"/>
        <w:rPr>
          <w:rFonts w:cstheme="minorHAnsi"/>
          <w:b/>
          <w:sz w:val="24"/>
          <w:szCs w:val="24"/>
        </w:rPr>
      </w:pPr>
      <w:r w:rsidRPr="001E1B38">
        <w:rPr>
          <w:rFonts w:cstheme="minorHAnsi"/>
          <w:b/>
          <w:color w:val="365F91" w:themeColor="accent1" w:themeShade="BF"/>
          <w:sz w:val="20"/>
          <w:szCs w:val="20"/>
        </w:rPr>
        <w:t xml:space="preserve">No hematocrit or hemoglobin checked within 18 hours of anesthesia end the case will pass. </w:t>
      </w:r>
    </w:p>
    <w:p w14:paraId="6FA30A77" w14:textId="77777777" w:rsidR="00A47785" w:rsidRDefault="00A47785" w:rsidP="00A47785">
      <w:pPr>
        <w:pStyle w:val="ListParagraph"/>
        <w:spacing w:before="240" w:line="240" w:lineRule="auto"/>
        <w:rPr>
          <w:rFonts w:cstheme="minorHAnsi"/>
          <w:b/>
          <w:sz w:val="24"/>
          <w:szCs w:val="24"/>
        </w:rPr>
      </w:pPr>
    </w:p>
    <w:p w14:paraId="5CD56B38" w14:textId="77777777" w:rsidR="00A47785" w:rsidRPr="001E1B38" w:rsidRDefault="00A47785" w:rsidP="00A47785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/>
          <w:color w:val="548DD4" w:themeColor="text2" w:themeTint="99"/>
          <w:sz w:val="20"/>
          <w:szCs w:val="20"/>
        </w:rPr>
      </w:pPr>
      <w:r w:rsidRPr="00A832EB">
        <w:rPr>
          <w:rFonts w:cstheme="minorHAnsi"/>
          <w:b/>
          <w:sz w:val="24"/>
          <w:szCs w:val="24"/>
        </w:rPr>
        <w:t xml:space="preserve">NMB 1: TO4 of at least ¼ must be </w:t>
      </w:r>
      <w:r w:rsidRPr="00A832EB">
        <w:rPr>
          <w:rFonts w:cstheme="minorHAnsi"/>
          <w:b/>
          <w:i/>
          <w:sz w:val="24"/>
          <w:szCs w:val="24"/>
        </w:rPr>
        <w:t>documented in the</w:t>
      </w:r>
      <w:r w:rsidRPr="00A832EB">
        <w:rPr>
          <w:rFonts w:cstheme="minorHAnsi"/>
          <w:b/>
          <w:sz w:val="24"/>
          <w:szCs w:val="24"/>
        </w:rPr>
        <w:t xml:space="preserve"> </w:t>
      </w:r>
      <w:r w:rsidRPr="00A832EB">
        <w:rPr>
          <w:rFonts w:cstheme="minorHAnsi"/>
          <w:b/>
          <w:i/>
          <w:sz w:val="24"/>
          <w:szCs w:val="24"/>
        </w:rPr>
        <w:t>flowsheet</w:t>
      </w:r>
      <w:r w:rsidRPr="00A832EB">
        <w:rPr>
          <w:rFonts w:cstheme="minorHAnsi"/>
          <w:b/>
          <w:sz w:val="24"/>
          <w:szCs w:val="24"/>
        </w:rPr>
        <w:t xml:space="preserve"> after last dose of NDMR. </w:t>
      </w:r>
      <w:r>
        <w:rPr>
          <w:rFonts w:cstheme="minorHAnsi"/>
          <w:b/>
          <w:sz w:val="24"/>
          <w:szCs w:val="24"/>
        </w:rPr>
        <w:t xml:space="preserve">                 </w:t>
      </w:r>
      <w:r w:rsidRPr="001E1B38">
        <w:rPr>
          <w:rFonts w:cstheme="minorHAnsi"/>
          <w:b/>
          <w:color w:val="548DD4" w:themeColor="text2" w:themeTint="99"/>
          <w:sz w:val="20"/>
          <w:szCs w:val="20"/>
        </w:rPr>
        <w:t>This includes a defasciculating dose before succinylcholine.</w:t>
      </w:r>
    </w:p>
    <w:p w14:paraId="027F2415" w14:textId="77777777" w:rsidR="00A47785" w:rsidRPr="001E1B38" w:rsidRDefault="00A47785" w:rsidP="00A47785">
      <w:pPr>
        <w:pStyle w:val="ListParagraph"/>
        <w:spacing w:line="240" w:lineRule="auto"/>
        <w:rPr>
          <w:rFonts w:cstheme="minorHAnsi"/>
          <w:b/>
          <w:color w:val="548DD4" w:themeColor="text2" w:themeTint="99"/>
          <w:sz w:val="20"/>
          <w:szCs w:val="20"/>
        </w:rPr>
      </w:pPr>
      <w:r w:rsidRPr="001E1B38">
        <w:rPr>
          <w:rFonts w:cstheme="minorHAnsi"/>
          <w:b/>
          <w:color w:val="548DD4" w:themeColor="text2" w:themeTint="99"/>
          <w:sz w:val="20"/>
          <w:szCs w:val="20"/>
        </w:rPr>
        <w:t xml:space="preserve"> </w:t>
      </w:r>
    </w:p>
    <w:p w14:paraId="6297D9D9" w14:textId="77777777" w:rsidR="00A47785" w:rsidRDefault="00A47785" w:rsidP="00A47785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  <w:b/>
          <w:sz w:val="24"/>
          <w:szCs w:val="24"/>
        </w:rPr>
      </w:pPr>
      <w:r w:rsidRPr="00A832EB">
        <w:rPr>
          <w:rFonts w:cstheme="minorHAnsi"/>
          <w:b/>
          <w:sz w:val="24"/>
          <w:szCs w:val="24"/>
        </w:rPr>
        <w:t>NMB 2: Reversal agent given before extubation.</w:t>
      </w:r>
    </w:p>
    <w:p w14:paraId="768D37B7" w14:textId="77777777" w:rsidR="00E34FA2" w:rsidRPr="00E34FA2" w:rsidRDefault="00E34FA2" w:rsidP="00E34FA2">
      <w:pPr>
        <w:pStyle w:val="ListParagraph"/>
        <w:spacing w:before="240" w:line="240" w:lineRule="auto"/>
        <w:rPr>
          <w:rFonts w:cstheme="minorHAnsi"/>
          <w:b/>
          <w:sz w:val="24"/>
          <w:szCs w:val="24"/>
        </w:rPr>
      </w:pPr>
    </w:p>
    <w:p w14:paraId="229F6F2D" w14:textId="77777777" w:rsidR="00A47785" w:rsidRDefault="00E2380F" w:rsidP="00A47785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  <w:b/>
          <w:sz w:val="24"/>
          <w:szCs w:val="24"/>
        </w:rPr>
      </w:pPr>
      <w:r w:rsidRPr="00A832EB">
        <w:rPr>
          <w:rFonts w:cstheme="minorHAnsi"/>
          <w:b/>
          <w:sz w:val="24"/>
          <w:szCs w:val="24"/>
        </w:rPr>
        <w:t>BP 1:</w:t>
      </w:r>
      <w:r w:rsidR="005F7FA7" w:rsidRPr="00A832EB">
        <w:rPr>
          <w:rFonts w:cstheme="minorHAnsi"/>
          <w:b/>
          <w:sz w:val="24"/>
          <w:szCs w:val="24"/>
        </w:rPr>
        <w:t xml:space="preserve"> MAP &lt; 55 for cumulative</w:t>
      </w:r>
      <w:r w:rsidR="0031377A" w:rsidRPr="00A832EB">
        <w:rPr>
          <w:rFonts w:cstheme="minorHAnsi"/>
          <w:b/>
          <w:sz w:val="24"/>
          <w:szCs w:val="24"/>
        </w:rPr>
        <w:t xml:space="preserve"> time of 20 min. </w:t>
      </w:r>
    </w:p>
    <w:p w14:paraId="5978E963" w14:textId="77777777" w:rsidR="00A47785" w:rsidRPr="00A47785" w:rsidRDefault="00A47785" w:rsidP="00A47785">
      <w:pPr>
        <w:pStyle w:val="ListParagraph"/>
        <w:rPr>
          <w:rFonts w:cstheme="minorHAnsi"/>
          <w:b/>
          <w:sz w:val="24"/>
          <w:szCs w:val="24"/>
        </w:rPr>
      </w:pPr>
    </w:p>
    <w:p w14:paraId="0E9E6537" w14:textId="77777777" w:rsidR="00AC09FF" w:rsidRDefault="00E2380F" w:rsidP="00AC09FF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  <w:b/>
          <w:sz w:val="24"/>
          <w:szCs w:val="24"/>
        </w:rPr>
      </w:pPr>
      <w:r w:rsidRPr="00A832EB">
        <w:rPr>
          <w:rFonts w:cstheme="minorHAnsi"/>
          <w:b/>
          <w:sz w:val="24"/>
          <w:szCs w:val="24"/>
        </w:rPr>
        <w:t>BP 2:</w:t>
      </w:r>
      <w:r w:rsidR="005F7FA7" w:rsidRPr="00A832EB">
        <w:rPr>
          <w:rFonts w:cstheme="minorHAnsi"/>
          <w:b/>
          <w:sz w:val="24"/>
          <w:szCs w:val="24"/>
        </w:rPr>
        <w:t xml:space="preserve"> </w:t>
      </w:r>
      <w:r w:rsidR="00E05202" w:rsidRPr="00A832EB">
        <w:rPr>
          <w:rFonts w:cstheme="minorHAnsi"/>
          <w:b/>
          <w:sz w:val="24"/>
          <w:szCs w:val="24"/>
        </w:rPr>
        <w:t xml:space="preserve">Keep </w:t>
      </w:r>
      <w:r w:rsidR="00B264B3" w:rsidRPr="00A832EB">
        <w:rPr>
          <w:rFonts w:cstheme="minorHAnsi"/>
          <w:b/>
          <w:sz w:val="24"/>
          <w:szCs w:val="24"/>
        </w:rPr>
        <w:t>BP g</w:t>
      </w:r>
      <w:r w:rsidR="005F7FA7" w:rsidRPr="00A832EB">
        <w:rPr>
          <w:rFonts w:cstheme="minorHAnsi"/>
          <w:b/>
          <w:sz w:val="24"/>
          <w:szCs w:val="24"/>
        </w:rPr>
        <w:t>aps &lt; 10 minutes</w:t>
      </w:r>
      <w:r w:rsidR="0004610D" w:rsidRPr="00A832EB">
        <w:rPr>
          <w:rFonts w:cstheme="minorHAnsi"/>
          <w:b/>
          <w:sz w:val="24"/>
          <w:szCs w:val="24"/>
        </w:rPr>
        <w:t>. ALL cases.</w:t>
      </w:r>
    </w:p>
    <w:p w14:paraId="6D9DB82F" w14:textId="77777777" w:rsidR="00AC09FF" w:rsidRDefault="00E05202" w:rsidP="00AC09FF">
      <w:pPr>
        <w:pStyle w:val="ListParagraph"/>
        <w:spacing w:before="240" w:line="240" w:lineRule="auto"/>
        <w:rPr>
          <w:rFonts w:cstheme="minorHAnsi"/>
          <w:b/>
          <w:sz w:val="24"/>
          <w:szCs w:val="24"/>
        </w:rPr>
      </w:pPr>
      <w:r w:rsidRPr="00A832EB">
        <w:rPr>
          <w:rFonts w:cstheme="minorHAnsi"/>
          <w:b/>
          <w:sz w:val="24"/>
          <w:szCs w:val="24"/>
        </w:rPr>
        <w:t xml:space="preserve"> </w:t>
      </w:r>
    </w:p>
    <w:p w14:paraId="56AFCEAC" w14:textId="77777777" w:rsidR="00AC09FF" w:rsidRPr="00AC09FF" w:rsidRDefault="00AC09FF" w:rsidP="00AC09FF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BP 3:</w:t>
      </w:r>
      <w:r w:rsidR="005D3AF7">
        <w:rPr>
          <w:rFonts w:cstheme="minorHAnsi"/>
          <w:b/>
          <w:sz w:val="24"/>
          <w:szCs w:val="24"/>
        </w:rPr>
        <w:t xml:space="preserve"> MAP &lt;65 for cumulative time of 15 minutes.</w:t>
      </w:r>
    </w:p>
    <w:p w14:paraId="31987008" w14:textId="77777777" w:rsidR="005F7FA7" w:rsidRPr="00A832EB" w:rsidRDefault="005F7FA7" w:rsidP="00AC09FF">
      <w:pPr>
        <w:pStyle w:val="ListParagraph"/>
        <w:spacing w:before="240" w:line="240" w:lineRule="auto"/>
        <w:ind w:left="1440"/>
        <w:rPr>
          <w:rFonts w:cstheme="minorHAnsi"/>
          <w:b/>
          <w:sz w:val="24"/>
          <w:szCs w:val="24"/>
        </w:rPr>
      </w:pPr>
    </w:p>
    <w:p w14:paraId="400EAAB0" w14:textId="77777777" w:rsidR="00B703DE" w:rsidRDefault="00D31C2E" w:rsidP="00E93A2B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  <w:b/>
          <w:color w:val="365F91" w:themeColor="accent1" w:themeShade="BF"/>
          <w:sz w:val="24"/>
          <w:szCs w:val="24"/>
        </w:rPr>
      </w:pPr>
      <w:r w:rsidRPr="00A47785">
        <w:rPr>
          <w:rFonts w:cstheme="minorHAnsi"/>
          <w:b/>
          <w:sz w:val="24"/>
          <w:szCs w:val="24"/>
        </w:rPr>
        <w:t xml:space="preserve">AKI: Non- Urology Procedures. Creatinine not &gt; 1.5 times within 7 days or 0.3 mg/dl within 48 hours. </w:t>
      </w:r>
      <w:r w:rsidR="00A47785">
        <w:rPr>
          <w:rFonts w:cstheme="minorHAnsi"/>
          <w:b/>
          <w:color w:val="365F91" w:themeColor="accent1" w:themeShade="BF"/>
          <w:sz w:val="24"/>
          <w:szCs w:val="24"/>
        </w:rPr>
        <w:t xml:space="preserve"> </w:t>
      </w:r>
    </w:p>
    <w:p w14:paraId="0DB6FC3B" w14:textId="77777777" w:rsidR="00A47785" w:rsidRPr="00A47785" w:rsidRDefault="00A47785" w:rsidP="00A47785">
      <w:pPr>
        <w:pStyle w:val="ListParagraph"/>
        <w:rPr>
          <w:rFonts w:cstheme="minorHAnsi"/>
          <w:b/>
          <w:color w:val="365F91" w:themeColor="accent1" w:themeShade="BF"/>
          <w:sz w:val="24"/>
          <w:szCs w:val="24"/>
        </w:rPr>
      </w:pPr>
    </w:p>
    <w:p w14:paraId="3FF71230" w14:textId="77777777" w:rsidR="00B703DE" w:rsidRPr="001E1B38" w:rsidRDefault="00B703DE" w:rsidP="00A832EB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  <w:b/>
          <w:color w:val="365F91" w:themeColor="accent1" w:themeShade="BF"/>
          <w:sz w:val="20"/>
          <w:szCs w:val="20"/>
        </w:rPr>
      </w:pPr>
      <w:r w:rsidRPr="00A832EB">
        <w:rPr>
          <w:rFonts w:cstheme="minorHAnsi"/>
          <w:b/>
          <w:sz w:val="24"/>
          <w:szCs w:val="24"/>
        </w:rPr>
        <w:t xml:space="preserve">Card 2: Trop ≤ 0.6 within 72 hours from anesthesia end. </w:t>
      </w:r>
      <w:r w:rsidRPr="001E1B38">
        <w:rPr>
          <w:rFonts w:cstheme="minorHAnsi"/>
          <w:b/>
          <w:color w:val="365F91" w:themeColor="accent1" w:themeShade="BF"/>
          <w:sz w:val="20"/>
          <w:szCs w:val="20"/>
        </w:rPr>
        <w:t>ALL Cases.</w:t>
      </w:r>
    </w:p>
    <w:p w14:paraId="0481A278" w14:textId="77777777" w:rsidR="00AC09FF" w:rsidRPr="00AC09FF" w:rsidRDefault="00AC09FF" w:rsidP="00AC09FF">
      <w:pPr>
        <w:pStyle w:val="ListParagraph"/>
        <w:rPr>
          <w:rFonts w:cstheme="minorHAnsi"/>
          <w:b/>
          <w:color w:val="365F91" w:themeColor="accent1" w:themeShade="BF"/>
          <w:sz w:val="24"/>
          <w:szCs w:val="24"/>
        </w:rPr>
      </w:pPr>
    </w:p>
    <w:p w14:paraId="7C427FB3" w14:textId="77777777" w:rsidR="00AC09FF" w:rsidRPr="00A832EB" w:rsidRDefault="00AC09FF" w:rsidP="00A832EB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  <w:b/>
          <w:color w:val="365F91" w:themeColor="accent1" w:themeShade="BF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Card 3: </w:t>
      </w:r>
      <w:r w:rsidR="004170EC" w:rsidRPr="00A832EB">
        <w:rPr>
          <w:rFonts w:cstheme="minorHAnsi"/>
          <w:b/>
          <w:sz w:val="24"/>
          <w:szCs w:val="24"/>
        </w:rPr>
        <w:t>Trop ≤ 0.6 within 72 hours from anesthesia end</w:t>
      </w:r>
      <w:r w:rsidR="004170EC">
        <w:rPr>
          <w:rFonts w:cstheme="minorHAnsi"/>
          <w:b/>
          <w:sz w:val="24"/>
          <w:szCs w:val="24"/>
        </w:rPr>
        <w:t xml:space="preserve"> in high cardiac risk patients</w:t>
      </w:r>
      <w:r w:rsidR="004170EC" w:rsidRPr="00A832EB">
        <w:rPr>
          <w:rFonts w:cstheme="minorHAnsi"/>
          <w:b/>
          <w:sz w:val="24"/>
          <w:szCs w:val="24"/>
        </w:rPr>
        <w:t>.</w:t>
      </w:r>
    </w:p>
    <w:p w14:paraId="1E29F961" w14:textId="77777777" w:rsidR="005865C1" w:rsidRPr="00A832EB" w:rsidRDefault="005865C1" w:rsidP="00A832EB">
      <w:pPr>
        <w:pStyle w:val="ListParagraph"/>
        <w:spacing w:before="240" w:line="240" w:lineRule="auto"/>
        <w:ind w:left="1440"/>
        <w:rPr>
          <w:rFonts w:cstheme="minorHAnsi"/>
          <w:b/>
          <w:sz w:val="24"/>
          <w:szCs w:val="24"/>
        </w:rPr>
      </w:pPr>
    </w:p>
    <w:p w14:paraId="4B50C1C0" w14:textId="77777777" w:rsidR="00D31C2E" w:rsidRPr="001E1B38" w:rsidRDefault="00E2380F" w:rsidP="005D3AF7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  <w:b/>
          <w:sz w:val="20"/>
          <w:szCs w:val="20"/>
        </w:rPr>
      </w:pPr>
      <w:r w:rsidRPr="00A832EB">
        <w:rPr>
          <w:rFonts w:cstheme="minorHAnsi"/>
          <w:b/>
          <w:sz w:val="24"/>
          <w:szCs w:val="24"/>
        </w:rPr>
        <w:t>Med 1:</w:t>
      </w:r>
      <w:r w:rsidR="00E05202" w:rsidRPr="00A832EB">
        <w:rPr>
          <w:rFonts w:cstheme="minorHAnsi"/>
          <w:b/>
          <w:sz w:val="24"/>
          <w:szCs w:val="24"/>
        </w:rPr>
        <w:t xml:space="preserve"> Absence of Narcan &amp; Flumazenil</w:t>
      </w:r>
      <w:r w:rsidRPr="00A832EB">
        <w:rPr>
          <w:rFonts w:cstheme="minorHAnsi"/>
          <w:b/>
          <w:sz w:val="24"/>
          <w:szCs w:val="24"/>
        </w:rPr>
        <w:t>.</w:t>
      </w:r>
      <w:r w:rsidR="00DA7956" w:rsidRPr="00A832EB">
        <w:rPr>
          <w:rFonts w:cstheme="minorHAnsi"/>
          <w:b/>
          <w:sz w:val="24"/>
          <w:szCs w:val="24"/>
        </w:rPr>
        <w:t xml:space="preserve"> </w:t>
      </w:r>
      <w:r w:rsidR="00D31C2E" w:rsidRPr="001E1B38">
        <w:rPr>
          <w:rFonts w:cstheme="minorHAnsi"/>
          <w:b/>
          <w:color w:val="365F91" w:themeColor="accent1" w:themeShade="BF"/>
          <w:sz w:val="20"/>
          <w:szCs w:val="20"/>
        </w:rPr>
        <w:t>ALL Cases.</w:t>
      </w:r>
    </w:p>
    <w:p w14:paraId="7425AF79" w14:textId="77777777" w:rsidR="004170EC" w:rsidRPr="004170EC" w:rsidRDefault="004170EC" w:rsidP="004170EC">
      <w:pPr>
        <w:pStyle w:val="ListParagraph"/>
        <w:rPr>
          <w:rFonts w:cstheme="minorHAnsi"/>
          <w:b/>
          <w:sz w:val="24"/>
          <w:szCs w:val="24"/>
        </w:rPr>
      </w:pPr>
    </w:p>
    <w:p w14:paraId="64C9B528" w14:textId="77777777" w:rsidR="004170EC" w:rsidRPr="004170EC" w:rsidRDefault="004170EC" w:rsidP="005D3AF7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Sus 01: </w:t>
      </w:r>
      <w:r w:rsidRPr="004170EC">
        <w:rPr>
          <w:rFonts w:cstheme="minorHAnsi"/>
          <w:b/>
          <w:sz w:val="24"/>
          <w:szCs w:val="24"/>
          <w:shd w:val="clear" w:color="auto" w:fill="FFFFFF"/>
        </w:rPr>
        <w:t>cases with mean fresh gas flow equal to, or less than 3L/min, during administration of halogenated hydrocarbons and/or nitrous oxide.</w:t>
      </w:r>
    </w:p>
    <w:p w14:paraId="2937B7A5" w14:textId="77777777" w:rsidR="005D3AF7" w:rsidRPr="00A832EB" w:rsidRDefault="005D3AF7" w:rsidP="005D3AF7">
      <w:pPr>
        <w:pStyle w:val="ListParagraph"/>
        <w:spacing w:before="240" w:line="240" w:lineRule="auto"/>
        <w:ind w:left="1440"/>
        <w:rPr>
          <w:rFonts w:cstheme="minorHAnsi"/>
          <w:b/>
          <w:sz w:val="24"/>
          <w:szCs w:val="24"/>
        </w:rPr>
      </w:pPr>
    </w:p>
    <w:p w14:paraId="598CEEEF" w14:textId="77777777" w:rsidR="00A47785" w:rsidRDefault="005D3AF7" w:rsidP="00A47785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  <w:b/>
          <w:i/>
          <w:sz w:val="24"/>
          <w:szCs w:val="24"/>
        </w:rPr>
      </w:pPr>
      <w:proofErr w:type="spellStart"/>
      <w:r w:rsidRPr="00A832EB">
        <w:rPr>
          <w:rFonts w:cstheme="minorHAnsi"/>
          <w:b/>
          <w:sz w:val="24"/>
          <w:szCs w:val="24"/>
        </w:rPr>
        <w:t>Gluc</w:t>
      </w:r>
      <w:proofErr w:type="spellEnd"/>
      <w:r w:rsidRPr="00A832EB">
        <w:rPr>
          <w:rFonts w:cstheme="minorHAnsi"/>
          <w:b/>
          <w:sz w:val="24"/>
          <w:szCs w:val="24"/>
        </w:rPr>
        <w:t xml:space="preserve"> 1: Glucose &gt; 200, recheck glucose within 90 min or insulin given. ALL Cases.</w:t>
      </w:r>
    </w:p>
    <w:p w14:paraId="0EB7374B" w14:textId="77777777" w:rsidR="005D3AF7" w:rsidRPr="001E1B38" w:rsidRDefault="005D3AF7" w:rsidP="00A47785">
      <w:pPr>
        <w:pStyle w:val="ListParagraph"/>
        <w:spacing w:before="240" w:line="240" w:lineRule="auto"/>
        <w:rPr>
          <w:rFonts w:cstheme="minorHAnsi"/>
          <w:b/>
          <w:i/>
          <w:sz w:val="20"/>
          <w:szCs w:val="20"/>
        </w:rPr>
      </w:pPr>
      <w:r w:rsidRPr="001E1B38">
        <w:rPr>
          <w:rFonts w:cstheme="minorHAnsi"/>
          <w:b/>
          <w:color w:val="365F91" w:themeColor="accent1" w:themeShade="BF"/>
          <w:sz w:val="20"/>
          <w:szCs w:val="20"/>
        </w:rPr>
        <w:t>Exclusion of Note:  Outpatient procedures of less than 4-hour duration</w:t>
      </w:r>
      <w:r w:rsidRPr="001E1B38">
        <w:rPr>
          <w:rFonts w:cstheme="minorHAnsi"/>
          <w:b/>
          <w:sz w:val="20"/>
          <w:szCs w:val="20"/>
        </w:rPr>
        <w:t>.</w:t>
      </w:r>
    </w:p>
    <w:p w14:paraId="25D10460" w14:textId="77777777" w:rsidR="005D3AF7" w:rsidRPr="00A832EB" w:rsidRDefault="005D3AF7" w:rsidP="005D3AF7">
      <w:pPr>
        <w:pStyle w:val="ListParagraph"/>
        <w:spacing w:before="240" w:line="240" w:lineRule="auto"/>
        <w:ind w:left="1440"/>
        <w:rPr>
          <w:rFonts w:cstheme="minorHAnsi"/>
          <w:b/>
          <w:sz w:val="24"/>
          <w:szCs w:val="24"/>
        </w:rPr>
      </w:pPr>
    </w:p>
    <w:p w14:paraId="5EA19F54" w14:textId="77777777" w:rsidR="005D3AF7" w:rsidRPr="00A832EB" w:rsidRDefault="005D3AF7" w:rsidP="005D3AF7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  <w:b/>
          <w:i/>
          <w:sz w:val="24"/>
          <w:szCs w:val="24"/>
        </w:rPr>
      </w:pPr>
      <w:proofErr w:type="spellStart"/>
      <w:r w:rsidRPr="00A832EB">
        <w:rPr>
          <w:rFonts w:cstheme="minorHAnsi"/>
          <w:b/>
          <w:sz w:val="24"/>
          <w:szCs w:val="24"/>
        </w:rPr>
        <w:t>Gluc</w:t>
      </w:r>
      <w:proofErr w:type="spellEnd"/>
      <w:r w:rsidRPr="00A832EB">
        <w:rPr>
          <w:rFonts w:cstheme="minorHAnsi"/>
          <w:b/>
          <w:sz w:val="24"/>
          <w:szCs w:val="24"/>
        </w:rPr>
        <w:t xml:space="preserve"> 2: Glucose &lt; 60 with dextrose given or recheck within 90 min. </w:t>
      </w:r>
    </w:p>
    <w:p w14:paraId="796A4C27" w14:textId="77777777" w:rsidR="001E1B38" w:rsidRDefault="008A1765" w:rsidP="008A1765">
      <w:pPr>
        <w:pStyle w:val="ListParagraph"/>
        <w:spacing w:before="240" w:line="240" w:lineRule="auto"/>
        <w:rPr>
          <w:rFonts w:cstheme="minorHAnsi"/>
          <w:b/>
          <w:color w:val="365F91" w:themeColor="accent1" w:themeShade="BF"/>
          <w:sz w:val="20"/>
          <w:szCs w:val="20"/>
        </w:rPr>
      </w:pPr>
      <w:r>
        <w:rPr>
          <w:rFonts w:cstheme="minorHAnsi"/>
          <w:b/>
          <w:color w:val="365F91" w:themeColor="accent1" w:themeShade="BF"/>
          <w:sz w:val="20"/>
          <w:szCs w:val="20"/>
        </w:rPr>
        <w:t>ALL Cases</w:t>
      </w:r>
    </w:p>
    <w:p w14:paraId="7DF870EC" w14:textId="77777777" w:rsidR="00DA5CF7" w:rsidRPr="008A1765" w:rsidRDefault="00DA5CF7" w:rsidP="008A1765">
      <w:pPr>
        <w:pStyle w:val="ListParagraph"/>
        <w:spacing w:before="240" w:line="240" w:lineRule="auto"/>
        <w:rPr>
          <w:rFonts w:cstheme="minorHAnsi"/>
          <w:b/>
          <w:color w:val="365F91" w:themeColor="accent1" w:themeShade="BF"/>
          <w:sz w:val="20"/>
          <w:szCs w:val="20"/>
        </w:rPr>
      </w:pPr>
    </w:p>
    <w:p w14:paraId="3F10F835" w14:textId="77777777" w:rsidR="001E1B38" w:rsidRPr="008A1765" w:rsidRDefault="008A1765" w:rsidP="008A1765">
      <w:pPr>
        <w:pStyle w:val="ListParagraph"/>
        <w:numPr>
          <w:ilvl w:val="0"/>
          <w:numId w:val="15"/>
        </w:numPr>
        <w:spacing w:before="240" w:line="240" w:lineRule="auto"/>
        <w:rPr>
          <w:rFonts w:cstheme="minorHAnsi"/>
          <w:b/>
          <w:sz w:val="24"/>
          <w:szCs w:val="24"/>
          <w:lang w:val="en"/>
        </w:rPr>
      </w:pPr>
      <w:proofErr w:type="spellStart"/>
      <w:r w:rsidRPr="008A1765">
        <w:rPr>
          <w:rFonts w:cstheme="minorHAnsi"/>
          <w:b/>
          <w:sz w:val="24"/>
          <w:szCs w:val="24"/>
        </w:rPr>
        <w:t>Gluc</w:t>
      </w:r>
      <w:proofErr w:type="spellEnd"/>
      <w:r w:rsidRPr="008A1765">
        <w:rPr>
          <w:rFonts w:cstheme="minorHAnsi"/>
          <w:b/>
          <w:sz w:val="24"/>
          <w:szCs w:val="24"/>
        </w:rPr>
        <w:t xml:space="preserve"> 3: </w:t>
      </w:r>
      <w:r w:rsidRPr="008A1765">
        <w:rPr>
          <w:rFonts w:cstheme="minorHAnsi"/>
          <w:b/>
          <w:sz w:val="24"/>
          <w:szCs w:val="24"/>
          <w:lang w:val="en"/>
        </w:rPr>
        <w:t>Glucose &gt;200mg/dL with administration of insulin or glucose recheck within 90 minutes of original glucose measurement. This measure spans from preop through PACU.</w:t>
      </w:r>
    </w:p>
    <w:p w14:paraId="090EE771" w14:textId="77777777" w:rsidR="008A1765" w:rsidRPr="008A1765" w:rsidRDefault="008A1765" w:rsidP="008A1765">
      <w:pPr>
        <w:pStyle w:val="ListParagraph"/>
        <w:spacing w:before="240" w:line="240" w:lineRule="auto"/>
        <w:rPr>
          <w:rFonts w:cstheme="minorHAnsi"/>
          <w:b/>
          <w:sz w:val="24"/>
          <w:szCs w:val="24"/>
        </w:rPr>
      </w:pPr>
    </w:p>
    <w:p w14:paraId="1BD199E4" w14:textId="183CC491" w:rsidR="008A1765" w:rsidRPr="008E401C" w:rsidRDefault="008A1765" w:rsidP="008A1765">
      <w:pPr>
        <w:pStyle w:val="ListParagraph"/>
        <w:numPr>
          <w:ilvl w:val="0"/>
          <w:numId w:val="15"/>
        </w:numPr>
        <w:spacing w:before="240" w:line="240" w:lineRule="auto"/>
        <w:rPr>
          <w:rFonts w:cstheme="minorHAnsi"/>
          <w:b/>
          <w:sz w:val="24"/>
          <w:szCs w:val="24"/>
        </w:rPr>
      </w:pPr>
      <w:proofErr w:type="spellStart"/>
      <w:r w:rsidRPr="008A1765">
        <w:rPr>
          <w:rFonts w:cstheme="minorHAnsi"/>
          <w:b/>
          <w:sz w:val="24"/>
          <w:szCs w:val="24"/>
          <w:lang w:val="en"/>
        </w:rPr>
        <w:t>Gluc</w:t>
      </w:r>
      <w:proofErr w:type="spellEnd"/>
      <w:r w:rsidRPr="008A1765">
        <w:rPr>
          <w:rFonts w:cstheme="minorHAnsi"/>
          <w:b/>
          <w:sz w:val="24"/>
          <w:szCs w:val="24"/>
          <w:lang w:val="en"/>
        </w:rPr>
        <w:t xml:space="preserve"> 4: </w:t>
      </w:r>
      <w:r w:rsidRPr="004C42F6">
        <w:rPr>
          <w:rFonts w:cstheme="minorHAnsi"/>
          <w:b/>
          <w:sz w:val="24"/>
          <w:szCs w:val="24"/>
          <w:lang w:val="en"/>
        </w:rPr>
        <w:t>Glucose &lt;60 with administration of dextrose containing solution or glucose recheck within 90 minutes of original glucose measurement. This measure spans from preop through PACU.</w:t>
      </w:r>
      <w:r w:rsidRPr="00AF5EA4">
        <w:rPr>
          <w:rFonts w:ascii="Segoe UI" w:hAnsi="Segoe UI" w:cs="Segoe UI"/>
          <w:b/>
          <w:sz w:val="23"/>
          <w:szCs w:val="23"/>
          <w:lang w:val="en"/>
        </w:rPr>
        <w:t xml:space="preserve">  </w:t>
      </w:r>
    </w:p>
    <w:p w14:paraId="36F2FA12" w14:textId="77777777" w:rsidR="008E401C" w:rsidRPr="008E401C" w:rsidRDefault="008E401C" w:rsidP="008E401C">
      <w:pPr>
        <w:pStyle w:val="ListParagraph"/>
        <w:rPr>
          <w:rFonts w:cstheme="minorHAnsi"/>
          <w:b/>
          <w:sz w:val="24"/>
          <w:szCs w:val="24"/>
        </w:rPr>
      </w:pPr>
    </w:p>
    <w:p w14:paraId="6E4DBA5A" w14:textId="6A68994E" w:rsidR="008E401C" w:rsidRPr="008E401C" w:rsidRDefault="008E401C" w:rsidP="008A1765">
      <w:pPr>
        <w:pStyle w:val="ListParagraph"/>
        <w:numPr>
          <w:ilvl w:val="0"/>
          <w:numId w:val="15"/>
        </w:numPr>
        <w:spacing w:before="24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ABX 1: </w:t>
      </w:r>
      <w:r w:rsidRPr="008E401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Percentage of cesarean deliveries with documentation of antibiotic administration initiated within one hour before surgical incision</w:t>
      </w:r>
      <w:r w:rsidR="00B9758E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.</w:t>
      </w:r>
      <w:r w:rsidR="00B9758E">
        <w:rPr>
          <w:rFonts w:cstheme="minorHAnsi"/>
          <w:b/>
          <w:sz w:val="24"/>
          <w:szCs w:val="24"/>
        </w:rPr>
        <w:t xml:space="preserve"> </w:t>
      </w:r>
      <w:r w:rsidR="00B9758E" w:rsidRPr="00B9758E">
        <w:rPr>
          <w:rFonts w:ascii="Tahoma" w:hAnsi="Tahoma" w:cs="Tahoma"/>
          <w:b/>
          <w:bCs/>
          <w:color w:val="548DD4" w:themeColor="text2" w:themeTint="99"/>
          <w:sz w:val="18"/>
          <w:szCs w:val="18"/>
          <w:shd w:val="clear" w:color="auto" w:fill="FFFFFF"/>
        </w:rPr>
        <w:t>For Vancomycin, 120 minutes before measure end time</w:t>
      </w:r>
      <w:r w:rsidR="00B9758E">
        <w:rPr>
          <w:rFonts w:ascii="Tahoma" w:hAnsi="Tahoma" w:cs="Tahoma"/>
          <w:color w:val="333333"/>
          <w:sz w:val="21"/>
          <w:szCs w:val="21"/>
          <w:shd w:val="clear" w:color="auto" w:fill="FFFFFF"/>
        </w:rPr>
        <w:t>.</w:t>
      </w:r>
    </w:p>
    <w:p w14:paraId="6C9D00EE" w14:textId="77777777" w:rsidR="008E401C" w:rsidRPr="008E401C" w:rsidRDefault="008E401C" w:rsidP="008E401C">
      <w:pPr>
        <w:pStyle w:val="ListParagrap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2E864923" w14:textId="20FD7250" w:rsidR="008E401C" w:rsidRPr="00B9758E" w:rsidRDefault="008E401C" w:rsidP="00B9758E">
      <w:pPr>
        <w:pStyle w:val="ListParagraph"/>
        <w:numPr>
          <w:ilvl w:val="0"/>
          <w:numId w:val="15"/>
        </w:numPr>
        <w:spacing w:before="24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Mort 1: </w:t>
      </w:r>
      <w:r w:rsidRPr="008E401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Percentage of patients with in</w:t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-</w:t>
      </w:r>
      <w:r w:rsidRPr="008E401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hospital death reported within 30 days after procedure.</w:t>
      </w:r>
      <w:r w:rsidR="00B9758E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B9758E">
        <w:rPr>
          <w:rFonts w:ascii="Tahoma" w:hAnsi="Tahoma" w:cs="Tahoma"/>
          <w:b/>
          <w:bCs/>
          <w:color w:val="548DD4" w:themeColor="text2" w:themeTint="99"/>
          <w:sz w:val="18"/>
          <w:szCs w:val="18"/>
          <w:shd w:val="clear" w:color="auto" w:fill="FFFFFF"/>
        </w:rPr>
        <w:t>Institutional measure - individual provider attribution not applicable</w:t>
      </w:r>
    </w:p>
    <w:p w14:paraId="53099060" w14:textId="77777777" w:rsidR="001E1B38" w:rsidRPr="008A1765" w:rsidRDefault="001E1B38" w:rsidP="005865C1">
      <w:pPr>
        <w:spacing w:before="24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30F496D5" w14:textId="77777777" w:rsidR="001E1B38" w:rsidRDefault="001E1B38" w:rsidP="005865C1">
      <w:pPr>
        <w:spacing w:before="24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324B28B2" w14:textId="77777777" w:rsidR="001E1B38" w:rsidRDefault="001E1B38" w:rsidP="005865C1">
      <w:pPr>
        <w:spacing w:before="24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0864FACD" w14:textId="77777777" w:rsidR="0004610D" w:rsidRPr="00A832EB" w:rsidRDefault="002C7C12" w:rsidP="005865C1">
      <w:pPr>
        <w:spacing w:before="24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A832EB">
        <w:rPr>
          <w:rFonts w:cstheme="minorHAnsi"/>
          <w:b/>
          <w:sz w:val="24"/>
          <w:szCs w:val="24"/>
        </w:rPr>
        <w:t>Please refer to:</w:t>
      </w:r>
      <w:r w:rsidRPr="00A832EB">
        <w:rPr>
          <w:rFonts w:cstheme="minorHAnsi"/>
          <w:sz w:val="24"/>
          <w:szCs w:val="24"/>
        </w:rPr>
        <w:t xml:space="preserve"> </w:t>
      </w:r>
      <w:r w:rsidR="0004610D" w:rsidRPr="00A832EB">
        <w:rPr>
          <w:rFonts w:cstheme="minorHAnsi"/>
          <w:sz w:val="24"/>
          <w:szCs w:val="24"/>
        </w:rPr>
        <w:t xml:space="preserve"> </w:t>
      </w:r>
      <w:hyperlink r:id="rId5" w:history="1">
        <w:r w:rsidR="00A47785" w:rsidRPr="00A47785">
          <w:rPr>
            <w:rStyle w:val="Hyperlink"/>
          </w:rPr>
          <w:t>https://mpog.org/quality/our-measures/</w:t>
        </w:r>
      </w:hyperlink>
    </w:p>
    <w:p w14:paraId="24F63E8D" w14:textId="77777777" w:rsidR="007A72C7" w:rsidRPr="00A832EB" w:rsidRDefault="00A47785" w:rsidP="005865C1">
      <w:pPr>
        <w:spacing w:before="240"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Site has all the specifications and references used to determine measure requirements</w:t>
      </w:r>
    </w:p>
    <w:sectPr w:rsidR="007A72C7" w:rsidRPr="00A832EB" w:rsidSect="00991C9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5pt;height:90.6pt" o:bullet="t">
        <v:imagedata r:id="rId1" o:title="th[1]"/>
      </v:shape>
    </w:pict>
  </w:numPicBullet>
  <w:numPicBullet w:numPicBulletId="1">
    <w:pict>
      <v:shape id="_x0000_i1027" type="#_x0000_t75" style="width:469.2pt;height:403.2pt" o:bullet="t">
        <v:imagedata r:id="rId2" o:title="th[1]"/>
      </v:shape>
    </w:pict>
  </w:numPicBullet>
  <w:abstractNum w:abstractNumId="0" w15:restartNumberingAfterBreak="0">
    <w:nsid w:val="052C0757"/>
    <w:multiLevelType w:val="hybridMultilevel"/>
    <w:tmpl w:val="6CDEDC66"/>
    <w:lvl w:ilvl="0" w:tplc="EACE7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00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00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CC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C7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01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E9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A1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4C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16214"/>
    <w:multiLevelType w:val="hybridMultilevel"/>
    <w:tmpl w:val="CCB26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0AE7"/>
    <w:multiLevelType w:val="hybridMultilevel"/>
    <w:tmpl w:val="6B421A3A"/>
    <w:lvl w:ilvl="0" w:tplc="31806E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73B4"/>
    <w:multiLevelType w:val="hybridMultilevel"/>
    <w:tmpl w:val="54D0FF20"/>
    <w:lvl w:ilvl="0" w:tplc="31806E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7F7E"/>
    <w:multiLevelType w:val="hybridMultilevel"/>
    <w:tmpl w:val="90F6B5E2"/>
    <w:lvl w:ilvl="0" w:tplc="31806E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A2192"/>
    <w:multiLevelType w:val="hybridMultilevel"/>
    <w:tmpl w:val="3842CB2A"/>
    <w:lvl w:ilvl="0" w:tplc="31806E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C4EA7"/>
    <w:multiLevelType w:val="hybridMultilevel"/>
    <w:tmpl w:val="2722C906"/>
    <w:lvl w:ilvl="0" w:tplc="31806E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64C30"/>
    <w:multiLevelType w:val="hybridMultilevel"/>
    <w:tmpl w:val="7950509C"/>
    <w:lvl w:ilvl="0" w:tplc="31806E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4643"/>
    <w:multiLevelType w:val="hybridMultilevel"/>
    <w:tmpl w:val="1A64EE5E"/>
    <w:lvl w:ilvl="0" w:tplc="31806E6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6BC364D"/>
    <w:multiLevelType w:val="hybridMultilevel"/>
    <w:tmpl w:val="1DFE1EF6"/>
    <w:lvl w:ilvl="0" w:tplc="31806E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B66AA"/>
    <w:multiLevelType w:val="hybridMultilevel"/>
    <w:tmpl w:val="2C46D814"/>
    <w:lvl w:ilvl="0" w:tplc="F65CD8F0">
      <w:start w:val="18"/>
      <w:numFmt w:val="decimal"/>
      <w:lvlText w:val="%1"/>
      <w:lvlJc w:val="left"/>
      <w:pPr>
        <w:ind w:left="1080" w:hanging="360"/>
      </w:pPr>
      <w:rPr>
        <w:rFonts w:hint="default"/>
        <w:color w:val="365F91" w:themeColor="accent1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7F0A9A"/>
    <w:multiLevelType w:val="hybridMultilevel"/>
    <w:tmpl w:val="BF746D6C"/>
    <w:lvl w:ilvl="0" w:tplc="31806E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C0B5C"/>
    <w:multiLevelType w:val="hybridMultilevel"/>
    <w:tmpl w:val="CFF6A5A2"/>
    <w:lvl w:ilvl="0" w:tplc="31806E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A2CFE"/>
    <w:multiLevelType w:val="hybridMultilevel"/>
    <w:tmpl w:val="6DE8EB26"/>
    <w:lvl w:ilvl="0" w:tplc="31806E6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A03778"/>
    <w:multiLevelType w:val="hybridMultilevel"/>
    <w:tmpl w:val="5456E71E"/>
    <w:lvl w:ilvl="0" w:tplc="31806E68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97"/>
    <w:rsid w:val="00031E10"/>
    <w:rsid w:val="0004610D"/>
    <w:rsid w:val="000B0CC0"/>
    <w:rsid w:val="000C542B"/>
    <w:rsid w:val="00127A97"/>
    <w:rsid w:val="001434E1"/>
    <w:rsid w:val="00144CC6"/>
    <w:rsid w:val="001527C2"/>
    <w:rsid w:val="001770E8"/>
    <w:rsid w:val="001810AA"/>
    <w:rsid w:val="00194FFA"/>
    <w:rsid w:val="00197ED7"/>
    <w:rsid w:val="001E1B38"/>
    <w:rsid w:val="00201070"/>
    <w:rsid w:val="002127FE"/>
    <w:rsid w:val="002765FB"/>
    <w:rsid w:val="002C7C12"/>
    <w:rsid w:val="0031377A"/>
    <w:rsid w:val="0033339E"/>
    <w:rsid w:val="0034164C"/>
    <w:rsid w:val="004170EC"/>
    <w:rsid w:val="00442498"/>
    <w:rsid w:val="004B333F"/>
    <w:rsid w:val="004C42F6"/>
    <w:rsid w:val="004F77AD"/>
    <w:rsid w:val="00533167"/>
    <w:rsid w:val="00543D66"/>
    <w:rsid w:val="00564B3B"/>
    <w:rsid w:val="0057660E"/>
    <w:rsid w:val="005865C1"/>
    <w:rsid w:val="005B1A3B"/>
    <w:rsid w:val="005B6984"/>
    <w:rsid w:val="005D3AF7"/>
    <w:rsid w:val="005F7FA7"/>
    <w:rsid w:val="00610F53"/>
    <w:rsid w:val="00617744"/>
    <w:rsid w:val="006D32C1"/>
    <w:rsid w:val="006F4B79"/>
    <w:rsid w:val="00711771"/>
    <w:rsid w:val="007A72C7"/>
    <w:rsid w:val="007C43E9"/>
    <w:rsid w:val="007D6CCE"/>
    <w:rsid w:val="00801868"/>
    <w:rsid w:val="0086792A"/>
    <w:rsid w:val="00886DE6"/>
    <w:rsid w:val="008A1765"/>
    <w:rsid w:val="008E401C"/>
    <w:rsid w:val="00922188"/>
    <w:rsid w:val="00984908"/>
    <w:rsid w:val="00991C9A"/>
    <w:rsid w:val="009F5E21"/>
    <w:rsid w:val="00A43CB6"/>
    <w:rsid w:val="00A47785"/>
    <w:rsid w:val="00A62428"/>
    <w:rsid w:val="00A832EB"/>
    <w:rsid w:val="00A850BE"/>
    <w:rsid w:val="00A97490"/>
    <w:rsid w:val="00AB5615"/>
    <w:rsid w:val="00AC09FF"/>
    <w:rsid w:val="00AF5EA4"/>
    <w:rsid w:val="00B264B3"/>
    <w:rsid w:val="00B543D2"/>
    <w:rsid w:val="00B703DE"/>
    <w:rsid w:val="00B72CFF"/>
    <w:rsid w:val="00B92CE5"/>
    <w:rsid w:val="00B9758E"/>
    <w:rsid w:val="00C25D35"/>
    <w:rsid w:val="00C33DAC"/>
    <w:rsid w:val="00CE01DC"/>
    <w:rsid w:val="00D11DA4"/>
    <w:rsid w:val="00D24A9D"/>
    <w:rsid w:val="00D31C2E"/>
    <w:rsid w:val="00DA5CF7"/>
    <w:rsid w:val="00DA7956"/>
    <w:rsid w:val="00DD2AE3"/>
    <w:rsid w:val="00E05202"/>
    <w:rsid w:val="00E2380F"/>
    <w:rsid w:val="00E34FA2"/>
    <w:rsid w:val="00ED1A9E"/>
    <w:rsid w:val="00EF27AF"/>
    <w:rsid w:val="00F92378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67E6CC"/>
  <w15:docId w15:val="{7EC49C06-E32A-4102-9533-E3CC4A4E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5D3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25D3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A72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481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497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307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og.org/quality/our-measures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Healthcare Systems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Mary A</dc:creator>
  <cp:lastModifiedBy>Tyler, Pamela</cp:lastModifiedBy>
  <cp:revision>3</cp:revision>
  <cp:lastPrinted>2020-07-06T15:29:00Z</cp:lastPrinted>
  <dcterms:created xsi:type="dcterms:W3CDTF">2020-08-20T12:56:00Z</dcterms:created>
  <dcterms:modified xsi:type="dcterms:W3CDTF">2020-08-21T14:31:00Z</dcterms:modified>
</cp:coreProperties>
</file>