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E" w:rsidRDefault="0039644D" w:rsidP="00C24303">
      <w:pPr>
        <w:pStyle w:val="Title"/>
      </w:pPr>
      <w:r>
        <w:t xml:space="preserve">Proposed </w:t>
      </w:r>
      <w:r w:rsidR="00076A0E">
        <w:t>QI Reports v2014</w:t>
      </w:r>
    </w:p>
    <w:p w:rsidR="006E424F" w:rsidRDefault="006E424F" w:rsidP="006E424F">
      <w:r>
        <w:t>The QI reports are divided into three major domains:</w:t>
      </w:r>
    </w:p>
    <w:p w:rsidR="006E424F" w:rsidRDefault="006E424F" w:rsidP="006E424F">
      <w:pPr>
        <w:pStyle w:val="ListParagraph"/>
        <w:numPr>
          <w:ilvl w:val="0"/>
          <w:numId w:val="6"/>
        </w:numPr>
      </w:pPr>
      <w:r>
        <w:t>Process of care</w:t>
      </w:r>
    </w:p>
    <w:p w:rsidR="006E424F" w:rsidRDefault="006E424F" w:rsidP="006E424F">
      <w:pPr>
        <w:pStyle w:val="ListParagraph"/>
        <w:numPr>
          <w:ilvl w:val="1"/>
          <w:numId w:val="6"/>
        </w:numPr>
      </w:pPr>
      <w:r>
        <w:t xml:space="preserve">Externally established metrics (SCIP, </w:t>
      </w:r>
      <w:proofErr w:type="spellStart"/>
      <w:r>
        <w:t>etc</w:t>
      </w:r>
      <w:proofErr w:type="spellEnd"/>
      <w:r>
        <w:t>)</w:t>
      </w:r>
    </w:p>
    <w:p w:rsidR="006E424F" w:rsidRDefault="006E424F" w:rsidP="006E424F">
      <w:pPr>
        <w:pStyle w:val="ListParagraph"/>
        <w:numPr>
          <w:ilvl w:val="1"/>
          <w:numId w:val="6"/>
        </w:numPr>
      </w:pPr>
      <w:r>
        <w:t>Internally developed</w:t>
      </w:r>
    </w:p>
    <w:p w:rsidR="006E424F" w:rsidRDefault="006E424F" w:rsidP="006E424F">
      <w:pPr>
        <w:pStyle w:val="ListParagraph"/>
        <w:numPr>
          <w:ilvl w:val="0"/>
          <w:numId w:val="6"/>
        </w:numPr>
      </w:pPr>
      <w:r>
        <w:t>Clinical outcome</w:t>
      </w:r>
    </w:p>
    <w:p w:rsidR="006E424F" w:rsidRDefault="006E424F" w:rsidP="006E424F">
      <w:pPr>
        <w:pStyle w:val="ListParagraph"/>
        <w:numPr>
          <w:ilvl w:val="0"/>
          <w:numId w:val="6"/>
        </w:numPr>
      </w:pPr>
      <w:r>
        <w:t xml:space="preserve">Exploratory </w:t>
      </w:r>
    </w:p>
    <w:p w:rsidR="006E424F" w:rsidRDefault="006E424F" w:rsidP="00911860">
      <w:r>
        <w:t>Due to the relative lack of NQF-endorsed perioperative measures applicable to the anesthesiology provider, many QI reports are based upon commonly accepted clinical practices developed by the MPOG member institution representatives.</w:t>
      </w:r>
      <w:r w:rsidR="00911860">
        <w:t xml:space="preserve">  There are two basic dashboards made available: departmental and provider.  The departmental dashboard is exposed to departmental or institution leadership and enabled </w:t>
      </w:r>
      <w:r w:rsidR="00911860" w:rsidRPr="00911860">
        <w:rPr>
          <w:i/>
        </w:rPr>
        <w:t>cross-center</w:t>
      </w:r>
      <w:r w:rsidR="00911860">
        <w:t xml:space="preserve"> comparison with drill-down into individual (anonymized) providers.  The provider dashboard is designed for each individual clinician to review their own performance </w:t>
      </w:r>
      <w:r w:rsidR="00911860">
        <w:rPr>
          <w:i/>
        </w:rPr>
        <w:t>within</w:t>
      </w:r>
      <w:r w:rsidR="00911860">
        <w:t xml:space="preserve"> centers.  Reports can be filtered by primary surgical procedure or primary ICD9 procedure code.</w:t>
      </w:r>
      <w:r w:rsidR="00752183">
        <w:t xml:space="preserve">  For all current measures, ASA 5 or 6 patients are excluded, as are procedures with &lt; 45 minutes of anesthesia time (start to end)</w:t>
      </w:r>
      <w:r w:rsidR="00C224E2">
        <w:t>.  Currently, all measures are designed for use with adult patient populations only.</w:t>
      </w:r>
    </w:p>
    <w:p w:rsidR="006E424F" w:rsidRDefault="006E424F" w:rsidP="00911860">
      <w:pPr>
        <w:pStyle w:val="Heading2"/>
      </w:pPr>
      <w:r>
        <w:t>Process o</w:t>
      </w:r>
      <w:bookmarkStart w:id="0" w:name="_GoBack"/>
      <w:bookmarkEnd w:id="0"/>
      <w:r>
        <w:t>f care -- SCIP</w:t>
      </w:r>
    </w:p>
    <w:p w:rsidR="006E424F" w:rsidRDefault="006E424F" w:rsidP="006E424F">
      <w:pPr>
        <w:pStyle w:val="ListParagraph"/>
        <w:numPr>
          <w:ilvl w:val="0"/>
          <w:numId w:val="7"/>
        </w:numPr>
      </w:pPr>
      <w:r>
        <w:t>SCIP-INF1 – Timing of prophylactic antibiotics</w:t>
      </w:r>
    </w:p>
    <w:p w:rsidR="006E424F" w:rsidRDefault="006E424F" w:rsidP="006E424F">
      <w:pPr>
        <w:pStyle w:val="ListParagraph"/>
        <w:numPr>
          <w:ilvl w:val="0"/>
          <w:numId w:val="7"/>
        </w:numPr>
      </w:pPr>
      <w:r>
        <w:t xml:space="preserve">SCIP-INF10 – Perioperative </w:t>
      </w:r>
      <w:proofErr w:type="spellStart"/>
      <w:r>
        <w:t>normothermia</w:t>
      </w:r>
      <w:proofErr w:type="spellEnd"/>
      <w:r>
        <w:t xml:space="preserve"> and warming</w:t>
      </w:r>
    </w:p>
    <w:p w:rsidR="006E424F" w:rsidRDefault="006E424F" w:rsidP="006E424F">
      <w:pPr>
        <w:pStyle w:val="ListParagraph"/>
        <w:numPr>
          <w:ilvl w:val="0"/>
          <w:numId w:val="7"/>
        </w:numPr>
      </w:pPr>
      <w:r>
        <w:t>SCIP-CARD2 – Continuation of beta-blockade in patients with chronic beta blockade therapy</w:t>
      </w:r>
    </w:p>
    <w:p w:rsidR="006E424F" w:rsidRDefault="006E424F" w:rsidP="00911860">
      <w:pPr>
        <w:pStyle w:val="Heading2"/>
      </w:pPr>
      <w:r>
        <w:t>Process of care -- Internally developed</w:t>
      </w:r>
    </w:p>
    <w:p w:rsidR="00752183" w:rsidRDefault="00616555" w:rsidP="00911860">
      <w:pPr>
        <w:pStyle w:val="ListParagraph"/>
        <w:numPr>
          <w:ilvl w:val="0"/>
          <w:numId w:val="8"/>
        </w:numPr>
      </w:pPr>
      <w:r>
        <w:t>Intraoperative n</w:t>
      </w:r>
      <w:r w:rsidR="00752183">
        <w:t>euromuscular blockade monitoring and treatment</w:t>
      </w:r>
    </w:p>
    <w:p w:rsidR="00752183" w:rsidRDefault="00752183" w:rsidP="00752183">
      <w:pPr>
        <w:pStyle w:val="ListParagraph"/>
        <w:numPr>
          <w:ilvl w:val="1"/>
          <w:numId w:val="8"/>
        </w:numPr>
      </w:pPr>
      <w:r>
        <w:t>Exclusions</w:t>
      </w:r>
    </w:p>
    <w:p w:rsidR="00752183" w:rsidRDefault="00752183" w:rsidP="00752183">
      <w:pPr>
        <w:pStyle w:val="ListParagraph"/>
        <w:numPr>
          <w:ilvl w:val="2"/>
          <w:numId w:val="8"/>
        </w:numPr>
      </w:pPr>
      <w:r>
        <w:t>Patients arriving to operating room intubated or transported directly to ICU</w:t>
      </w:r>
    </w:p>
    <w:p w:rsidR="00752183" w:rsidRDefault="00752183" w:rsidP="00752183">
      <w:pPr>
        <w:pStyle w:val="ListParagraph"/>
        <w:numPr>
          <w:ilvl w:val="1"/>
          <w:numId w:val="8"/>
        </w:numPr>
      </w:pPr>
      <w:r>
        <w:t>Measures</w:t>
      </w:r>
    </w:p>
    <w:p w:rsidR="00752183" w:rsidRDefault="00752183" w:rsidP="00752183">
      <w:pPr>
        <w:pStyle w:val="ListParagraph"/>
        <w:numPr>
          <w:ilvl w:val="2"/>
          <w:numId w:val="8"/>
        </w:numPr>
      </w:pPr>
      <w:r>
        <w:t>Proportion of patients receiving a non-depolarizing neuromuscular blockade medication</w:t>
      </w:r>
      <w:r w:rsidR="00616555">
        <w:t xml:space="preserve"> with documentation of neuromuscular function recovery </w:t>
      </w:r>
      <w:r w:rsidR="007260F2">
        <w:t>(TOF twitches)</w:t>
      </w:r>
    </w:p>
    <w:p w:rsidR="00616555" w:rsidRDefault="00616555" w:rsidP="00752183">
      <w:pPr>
        <w:pStyle w:val="ListParagraph"/>
        <w:numPr>
          <w:ilvl w:val="2"/>
          <w:numId w:val="8"/>
        </w:numPr>
      </w:pPr>
      <w:r>
        <w:t xml:space="preserve">Proportion of patients receiving a non-depolarizing neuromuscular blockade medication with administration of neostigmine if time from last administration to </w:t>
      </w:r>
      <w:proofErr w:type="spellStart"/>
      <w:r>
        <w:t>extubation</w:t>
      </w:r>
      <w:proofErr w:type="spellEnd"/>
      <w:r>
        <w:t xml:space="preserve"> is &lt; 4 half-lives (specific to drug administered)</w:t>
      </w:r>
    </w:p>
    <w:p w:rsidR="00616555" w:rsidRDefault="00616555" w:rsidP="00616555">
      <w:pPr>
        <w:pStyle w:val="ListParagraph"/>
        <w:numPr>
          <w:ilvl w:val="1"/>
          <w:numId w:val="8"/>
        </w:numPr>
      </w:pPr>
      <w:r>
        <w:t>Threshold</w:t>
      </w:r>
    </w:p>
    <w:p w:rsidR="00616555" w:rsidRDefault="00616555" w:rsidP="00616555">
      <w:pPr>
        <w:pStyle w:val="ListParagraph"/>
        <w:numPr>
          <w:ilvl w:val="2"/>
          <w:numId w:val="8"/>
        </w:numPr>
      </w:pPr>
      <w:r>
        <w:t>95%</w:t>
      </w:r>
    </w:p>
    <w:p w:rsidR="00F56DEA" w:rsidRDefault="00F56DEA" w:rsidP="00F56DEA">
      <w:pPr>
        <w:pStyle w:val="ListParagraph"/>
        <w:numPr>
          <w:ilvl w:val="0"/>
          <w:numId w:val="8"/>
        </w:numPr>
      </w:pPr>
      <w:r>
        <w:t>Monitoring vigilance</w:t>
      </w:r>
    </w:p>
    <w:p w:rsidR="00F56DEA" w:rsidRDefault="00F56DEA" w:rsidP="00F56DEA">
      <w:pPr>
        <w:pStyle w:val="ListParagraph"/>
        <w:numPr>
          <w:ilvl w:val="1"/>
          <w:numId w:val="8"/>
        </w:numPr>
      </w:pPr>
      <w:r>
        <w:t>Exclusions</w:t>
      </w:r>
    </w:p>
    <w:p w:rsidR="00F56DEA" w:rsidRDefault="00F56DEA" w:rsidP="00F56DEA">
      <w:pPr>
        <w:pStyle w:val="ListParagraph"/>
        <w:numPr>
          <w:ilvl w:val="2"/>
          <w:numId w:val="8"/>
        </w:numPr>
      </w:pPr>
      <w:r>
        <w:t>Emergency patients</w:t>
      </w:r>
    </w:p>
    <w:p w:rsidR="00F56DEA" w:rsidRDefault="00F56DEA" w:rsidP="00F56DEA">
      <w:pPr>
        <w:pStyle w:val="ListParagraph"/>
        <w:numPr>
          <w:ilvl w:val="1"/>
          <w:numId w:val="8"/>
        </w:numPr>
      </w:pPr>
      <w:r>
        <w:t>Measures</w:t>
      </w:r>
    </w:p>
    <w:p w:rsidR="00F56DEA" w:rsidRDefault="00F56DEA" w:rsidP="00F56DEA">
      <w:pPr>
        <w:pStyle w:val="ListParagraph"/>
        <w:numPr>
          <w:ilvl w:val="2"/>
          <w:numId w:val="8"/>
        </w:numPr>
      </w:pPr>
      <w:r>
        <w:t>Proportion of patients without a 10 minute gap in systolic or mean arterial pressure between patient in room and patient out of room</w:t>
      </w:r>
    </w:p>
    <w:p w:rsidR="00F56DEA" w:rsidRDefault="00F56DEA" w:rsidP="00F56DEA">
      <w:pPr>
        <w:pStyle w:val="ListParagraph"/>
        <w:numPr>
          <w:ilvl w:val="1"/>
          <w:numId w:val="8"/>
        </w:numPr>
      </w:pPr>
      <w:r>
        <w:lastRenderedPageBreak/>
        <w:t>Threshold</w:t>
      </w:r>
    </w:p>
    <w:p w:rsidR="00F56DEA" w:rsidRDefault="00F56DEA" w:rsidP="00F56DEA">
      <w:pPr>
        <w:pStyle w:val="ListParagraph"/>
        <w:numPr>
          <w:ilvl w:val="2"/>
          <w:numId w:val="8"/>
        </w:numPr>
      </w:pPr>
      <w:r>
        <w:t>95%</w:t>
      </w:r>
    </w:p>
    <w:p w:rsidR="006E424F" w:rsidRDefault="00911860" w:rsidP="00911860">
      <w:pPr>
        <w:pStyle w:val="ListParagraph"/>
        <w:numPr>
          <w:ilvl w:val="0"/>
          <w:numId w:val="8"/>
        </w:numPr>
      </w:pPr>
      <w:r>
        <w:t>Discretionary transfusion management</w:t>
      </w:r>
    </w:p>
    <w:p w:rsidR="00911860" w:rsidRDefault="00911860" w:rsidP="00911860">
      <w:pPr>
        <w:pStyle w:val="ListParagraph"/>
        <w:numPr>
          <w:ilvl w:val="1"/>
          <w:numId w:val="8"/>
        </w:numPr>
      </w:pPr>
      <w:r>
        <w:t>Exclusions</w:t>
      </w:r>
    </w:p>
    <w:p w:rsidR="00911860" w:rsidRDefault="00911860" w:rsidP="00911860">
      <w:pPr>
        <w:pStyle w:val="ListParagraph"/>
        <w:numPr>
          <w:ilvl w:val="2"/>
          <w:numId w:val="8"/>
        </w:numPr>
      </w:pPr>
      <w:r>
        <w:t>Patients with &gt;=4 units of intraoperative PRBC transfused</w:t>
      </w:r>
    </w:p>
    <w:p w:rsidR="00911860" w:rsidRDefault="00911860" w:rsidP="00911860">
      <w:pPr>
        <w:pStyle w:val="ListParagraph"/>
        <w:numPr>
          <w:ilvl w:val="2"/>
          <w:numId w:val="8"/>
        </w:numPr>
      </w:pPr>
      <w:r>
        <w:t>EBL &gt;= 2000 ML</w:t>
      </w:r>
    </w:p>
    <w:p w:rsidR="009C6BAC" w:rsidRDefault="009C6BAC" w:rsidP="00911860">
      <w:pPr>
        <w:pStyle w:val="ListParagraph"/>
        <w:numPr>
          <w:ilvl w:val="2"/>
          <w:numId w:val="8"/>
        </w:numPr>
      </w:pPr>
      <w:r>
        <w:t>Outpatient surgery</w:t>
      </w:r>
    </w:p>
    <w:p w:rsidR="00911860" w:rsidRDefault="00911860" w:rsidP="00911860">
      <w:pPr>
        <w:pStyle w:val="ListParagraph"/>
        <w:numPr>
          <w:ilvl w:val="1"/>
          <w:numId w:val="8"/>
        </w:numPr>
      </w:pPr>
      <w:r>
        <w:t>Measures</w:t>
      </w:r>
    </w:p>
    <w:p w:rsidR="00911860" w:rsidRDefault="00911860" w:rsidP="00911860">
      <w:pPr>
        <w:pStyle w:val="ListParagraph"/>
        <w:numPr>
          <w:ilvl w:val="2"/>
          <w:numId w:val="8"/>
        </w:numPr>
      </w:pPr>
      <w:r>
        <w:t xml:space="preserve">Patients receiving PRBC at all </w:t>
      </w:r>
    </w:p>
    <w:p w:rsidR="00911860" w:rsidRDefault="00911860" w:rsidP="00911860">
      <w:pPr>
        <w:pStyle w:val="ListParagraph"/>
        <w:numPr>
          <w:ilvl w:val="2"/>
          <w:numId w:val="8"/>
        </w:numPr>
      </w:pPr>
      <w:r>
        <w:t>Patients receiving PRBC at all with a measured and documented hematocrit or hemoglobin within 60 minutes</w:t>
      </w:r>
    </w:p>
    <w:p w:rsidR="00911860" w:rsidRDefault="00911860" w:rsidP="00911860">
      <w:pPr>
        <w:pStyle w:val="ListParagraph"/>
        <w:numPr>
          <w:ilvl w:val="2"/>
          <w:numId w:val="8"/>
        </w:numPr>
      </w:pPr>
      <w:r>
        <w:t xml:space="preserve">Patients receiving PRBC with a first post anesthesia end (within 6 hours) hematocrit &gt; 32.0 </w:t>
      </w:r>
    </w:p>
    <w:p w:rsidR="00911860" w:rsidRDefault="00911860" w:rsidP="00911860">
      <w:pPr>
        <w:pStyle w:val="ListParagraph"/>
        <w:numPr>
          <w:ilvl w:val="2"/>
          <w:numId w:val="8"/>
        </w:numPr>
      </w:pPr>
      <w:r>
        <w:t>Intraoperative hematocrit or hemoglobin nadir</w:t>
      </w:r>
    </w:p>
    <w:p w:rsidR="00911860" w:rsidRDefault="00911860" w:rsidP="00911860">
      <w:pPr>
        <w:pStyle w:val="ListParagraph"/>
        <w:numPr>
          <w:ilvl w:val="1"/>
          <w:numId w:val="8"/>
        </w:numPr>
      </w:pPr>
      <w:r>
        <w:t>Thresholds</w:t>
      </w:r>
    </w:p>
    <w:p w:rsidR="00911860" w:rsidRDefault="00616555" w:rsidP="00911860">
      <w:pPr>
        <w:pStyle w:val="ListParagraph"/>
        <w:numPr>
          <w:ilvl w:val="2"/>
          <w:numId w:val="8"/>
        </w:numPr>
      </w:pPr>
      <w:r>
        <w:t>In development</w:t>
      </w:r>
    </w:p>
    <w:p w:rsidR="00911860" w:rsidRDefault="00911860" w:rsidP="00911860">
      <w:pPr>
        <w:pStyle w:val="ListParagraph"/>
        <w:numPr>
          <w:ilvl w:val="0"/>
          <w:numId w:val="8"/>
        </w:numPr>
      </w:pPr>
      <w:r>
        <w:t>Glucose management</w:t>
      </w:r>
    </w:p>
    <w:p w:rsidR="00911860" w:rsidRDefault="00911860" w:rsidP="00911860">
      <w:pPr>
        <w:pStyle w:val="ListParagraph"/>
        <w:numPr>
          <w:ilvl w:val="1"/>
          <w:numId w:val="8"/>
        </w:numPr>
      </w:pPr>
      <w:r>
        <w:t>Exclusions</w:t>
      </w:r>
    </w:p>
    <w:p w:rsidR="009C6BAC" w:rsidRDefault="00911860" w:rsidP="009C6BAC">
      <w:pPr>
        <w:pStyle w:val="ListParagraph"/>
        <w:numPr>
          <w:ilvl w:val="2"/>
          <w:numId w:val="8"/>
        </w:numPr>
      </w:pPr>
      <w:r>
        <w:t>Pancreatic transplants</w:t>
      </w:r>
    </w:p>
    <w:p w:rsidR="00752183" w:rsidRDefault="00752183" w:rsidP="00911860">
      <w:pPr>
        <w:pStyle w:val="ListParagraph"/>
        <w:numPr>
          <w:ilvl w:val="1"/>
          <w:numId w:val="8"/>
        </w:numPr>
      </w:pPr>
      <w:r>
        <w:t>Measures</w:t>
      </w:r>
    </w:p>
    <w:p w:rsidR="00911860" w:rsidRDefault="00911860" w:rsidP="00752183">
      <w:pPr>
        <w:pStyle w:val="ListParagraph"/>
        <w:numPr>
          <w:ilvl w:val="2"/>
          <w:numId w:val="8"/>
        </w:numPr>
      </w:pPr>
      <w:r>
        <w:t>Patie</w:t>
      </w:r>
      <w:r w:rsidR="00752183">
        <w:t xml:space="preserve">nts with perioperative </w:t>
      </w:r>
      <w:r>
        <w:t>glucose &gt; 250</w:t>
      </w:r>
      <w:r w:rsidR="00752183">
        <w:t xml:space="preserve"> (between anesthesia start-2 hours and anesthesia end + 2 hours) </w:t>
      </w:r>
      <w:r>
        <w:t xml:space="preserve"> with an insulin bolus or infusion or glucose recheck</w:t>
      </w:r>
    </w:p>
    <w:p w:rsidR="00911860" w:rsidRDefault="00911860" w:rsidP="00752183">
      <w:pPr>
        <w:pStyle w:val="ListParagraph"/>
        <w:numPr>
          <w:ilvl w:val="2"/>
          <w:numId w:val="8"/>
        </w:numPr>
      </w:pPr>
      <w:r>
        <w:t>Patients with insulin given</w:t>
      </w:r>
      <w:r w:rsidR="00752183">
        <w:t xml:space="preserve"> (between anesthesia start and anesthesia end)</w:t>
      </w:r>
      <w:r>
        <w:t>, recheck within 120 minutes</w:t>
      </w:r>
      <w:r w:rsidR="00752183">
        <w:t xml:space="preserve"> (anesthesia end + 2 hours)</w:t>
      </w:r>
    </w:p>
    <w:p w:rsidR="00911860" w:rsidRDefault="00752183" w:rsidP="00752183">
      <w:pPr>
        <w:pStyle w:val="ListParagraph"/>
        <w:numPr>
          <w:ilvl w:val="2"/>
          <w:numId w:val="8"/>
        </w:numPr>
      </w:pPr>
      <w:r>
        <w:t>Patients with g</w:t>
      </w:r>
      <w:r w:rsidR="00911860">
        <w:t xml:space="preserve">lucose &lt; 60 </w:t>
      </w:r>
      <w:r>
        <w:t xml:space="preserve">(between anesthesia start-2 hours and anesthesia end) with a glucose recheck of </w:t>
      </w:r>
      <w:r w:rsidR="00911860">
        <w:t xml:space="preserve">treatment </w:t>
      </w:r>
      <w:r>
        <w:t xml:space="preserve">with dextrose containing solution </w:t>
      </w:r>
      <w:r w:rsidR="00911860">
        <w:t xml:space="preserve"> </w:t>
      </w:r>
      <w:r>
        <w:t xml:space="preserve"> (between anesthesia start and anesthesia end + 2 hours)</w:t>
      </w:r>
    </w:p>
    <w:p w:rsidR="00F56DEA" w:rsidRDefault="00F56DEA" w:rsidP="00F56DEA">
      <w:pPr>
        <w:pStyle w:val="ListParagraph"/>
        <w:numPr>
          <w:ilvl w:val="0"/>
          <w:numId w:val="8"/>
        </w:numPr>
      </w:pPr>
      <w:r>
        <w:t>Intraoperative ventilator management</w:t>
      </w:r>
    </w:p>
    <w:p w:rsidR="009C6BAC" w:rsidRDefault="009C6BAC" w:rsidP="009C6BAC">
      <w:pPr>
        <w:pStyle w:val="ListParagraph"/>
        <w:numPr>
          <w:ilvl w:val="1"/>
          <w:numId w:val="8"/>
        </w:numPr>
      </w:pPr>
      <w:r>
        <w:t>Exclusions</w:t>
      </w:r>
    </w:p>
    <w:p w:rsidR="009C6BAC" w:rsidRDefault="009C6BAC" w:rsidP="009C6BAC">
      <w:pPr>
        <w:pStyle w:val="ListParagraph"/>
        <w:numPr>
          <w:ilvl w:val="2"/>
          <w:numId w:val="8"/>
        </w:numPr>
      </w:pPr>
      <w:r>
        <w:t>Patients arriving to operating room intubated or transported directly to ICU</w:t>
      </w:r>
    </w:p>
    <w:p w:rsidR="009C6BAC" w:rsidRDefault="009C6BAC" w:rsidP="009C6BAC">
      <w:pPr>
        <w:pStyle w:val="ListParagraph"/>
        <w:numPr>
          <w:ilvl w:val="2"/>
          <w:numId w:val="8"/>
        </w:numPr>
      </w:pPr>
      <w:r>
        <w:t>Outpatient surgery</w:t>
      </w:r>
    </w:p>
    <w:p w:rsidR="009C6BAC" w:rsidRDefault="009C6BAC" w:rsidP="009C6BAC">
      <w:pPr>
        <w:pStyle w:val="ListParagraph"/>
        <w:numPr>
          <w:ilvl w:val="2"/>
          <w:numId w:val="8"/>
        </w:numPr>
      </w:pPr>
      <w:r>
        <w:t>Patients without an endotracheal intubation during procedure</w:t>
      </w:r>
    </w:p>
    <w:p w:rsidR="009C6BAC" w:rsidRDefault="009C6BAC" w:rsidP="009C6BAC">
      <w:pPr>
        <w:pStyle w:val="ListParagraph"/>
        <w:numPr>
          <w:ilvl w:val="1"/>
          <w:numId w:val="8"/>
        </w:numPr>
      </w:pPr>
      <w:r>
        <w:t>Measures</w:t>
      </w:r>
    </w:p>
    <w:p w:rsidR="009C6BAC" w:rsidRDefault="009C6BAC" w:rsidP="009C6BAC">
      <w:pPr>
        <w:pStyle w:val="ListParagraph"/>
        <w:numPr>
          <w:ilvl w:val="2"/>
          <w:numId w:val="8"/>
        </w:numPr>
      </w:pPr>
      <w:r>
        <w:t>Patients with</w:t>
      </w:r>
      <w:r w:rsidR="007260F2">
        <w:t>out</w:t>
      </w:r>
      <w:r>
        <w:t xml:space="preserve"> sustained intraoperative tidal volume &gt; 10 ml/kg ideal body weight for 10 continuous minutes or greater</w:t>
      </w:r>
    </w:p>
    <w:p w:rsidR="009C6BAC" w:rsidRDefault="009C6BAC" w:rsidP="009C6BAC">
      <w:pPr>
        <w:pStyle w:val="ListParagraph"/>
        <w:numPr>
          <w:ilvl w:val="2"/>
          <w:numId w:val="8"/>
        </w:numPr>
      </w:pPr>
      <w:r>
        <w:t>Patients with</w:t>
      </w:r>
      <w:r w:rsidR="007260F2">
        <w:t>out</w:t>
      </w:r>
      <w:r>
        <w:t xml:space="preserve"> sustained intraoperative tidal volume &gt; 10 ml/kg ideal body weight for 20 minutes or greater</w:t>
      </w:r>
    </w:p>
    <w:p w:rsidR="009C6BAC" w:rsidRDefault="009C6BAC" w:rsidP="009C6BAC">
      <w:pPr>
        <w:pStyle w:val="ListParagraph"/>
        <w:numPr>
          <w:ilvl w:val="1"/>
          <w:numId w:val="8"/>
        </w:numPr>
      </w:pPr>
      <w:r>
        <w:t>Thresholds</w:t>
      </w:r>
    </w:p>
    <w:p w:rsidR="009C6BAC" w:rsidRDefault="009C6BAC" w:rsidP="009C6BAC">
      <w:pPr>
        <w:pStyle w:val="ListParagraph"/>
        <w:numPr>
          <w:ilvl w:val="2"/>
          <w:numId w:val="8"/>
        </w:numPr>
      </w:pPr>
      <w:r>
        <w:t>In development</w:t>
      </w:r>
    </w:p>
    <w:p w:rsidR="00076A0E" w:rsidRDefault="00076A0E" w:rsidP="00076A0E">
      <w:pPr>
        <w:pStyle w:val="ListParagraph"/>
        <w:numPr>
          <w:ilvl w:val="0"/>
          <w:numId w:val="8"/>
        </w:numPr>
      </w:pPr>
      <w:r>
        <w:t xml:space="preserve">Fluid management </w:t>
      </w:r>
    </w:p>
    <w:p w:rsidR="00076A0E" w:rsidRDefault="00076A0E" w:rsidP="00076A0E">
      <w:pPr>
        <w:pStyle w:val="ListParagraph"/>
        <w:numPr>
          <w:ilvl w:val="1"/>
          <w:numId w:val="8"/>
        </w:numPr>
      </w:pPr>
      <w:r>
        <w:t>Exclusions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Patients with &gt;=4 units of intraoperative PRBC transfused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EBL &gt;= 2000 ML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Outpatient surgery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Prone surgery &gt; 4 hours anesthesia time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Any surgery &gt; 8 hours anesthesia time</w:t>
      </w:r>
    </w:p>
    <w:p w:rsidR="00076A0E" w:rsidRDefault="00076A0E" w:rsidP="00076A0E">
      <w:pPr>
        <w:pStyle w:val="ListParagraph"/>
        <w:numPr>
          <w:ilvl w:val="1"/>
          <w:numId w:val="8"/>
        </w:numPr>
      </w:pPr>
      <w:r>
        <w:lastRenderedPageBreak/>
        <w:t>Measures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Patients without administration of albumin (5%, 25%, 10%) between anesthesia start and end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 xml:space="preserve">Patients without administration of </w:t>
      </w:r>
      <w:proofErr w:type="spellStart"/>
      <w:r>
        <w:t>hetastarch</w:t>
      </w:r>
      <w:proofErr w:type="spellEnd"/>
      <w:r>
        <w:t xml:space="preserve">, </w:t>
      </w:r>
      <w:proofErr w:type="spellStart"/>
      <w:r>
        <w:t>pentastarch</w:t>
      </w:r>
      <w:proofErr w:type="spellEnd"/>
      <w:r>
        <w:t xml:space="preserve">, or </w:t>
      </w:r>
      <w:proofErr w:type="spellStart"/>
      <w:r>
        <w:t>voluven</w:t>
      </w:r>
      <w:proofErr w:type="spellEnd"/>
      <w:r>
        <w:t xml:space="preserve"> between anesthesia start and end</w:t>
      </w:r>
    </w:p>
    <w:p w:rsidR="00076A0E" w:rsidRDefault="00076A0E" w:rsidP="00076A0E">
      <w:pPr>
        <w:pStyle w:val="ListParagraph"/>
        <w:numPr>
          <w:ilvl w:val="1"/>
          <w:numId w:val="8"/>
        </w:numPr>
      </w:pPr>
      <w:r>
        <w:t>Thresholds</w:t>
      </w:r>
    </w:p>
    <w:p w:rsidR="00076A0E" w:rsidRDefault="00076A0E" w:rsidP="00076A0E">
      <w:pPr>
        <w:pStyle w:val="ListParagraph"/>
        <w:numPr>
          <w:ilvl w:val="2"/>
          <w:numId w:val="8"/>
        </w:numPr>
      </w:pPr>
      <w:r>
        <w:t>85%</w:t>
      </w:r>
    </w:p>
    <w:p w:rsidR="00C224E2" w:rsidRDefault="00C224E2" w:rsidP="00C224E2">
      <w:pPr>
        <w:pStyle w:val="ListParagraph"/>
        <w:numPr>
          <w:ilvl w:val="0"/>
          <w:numId w:val="8"/>
        </w:numPr>
      </w:pPr>
      <w:r>
        <w:t>Postoperative nausea and vomiting prophylaxis in patients undergoing general anesthetic with inhalational anesthesia</w:t>
      </w:r>
    </w:p>
    <w:p w:rsidR="00C224E2" w:rsidRDefault="00C224E2" w:rsidP="00C224E2">
      <w:pPr>
        <w:pStyle w:val="ListParagraph"/>
        <w:numPr>
          <w:ilvl w:val="1"/>
          <w:numId w:val="8"/>
        </w:numPr>
      </w:pPr>
      <w:r>
        <w:t>Exclusions</w:t>
      </w:r>
    </w:p>
    <w:p w:rsidR="00C224E2" w:rsidRDefault="00C224E2" w:rsidP="00C224E2">
      <w:pPr>
        <w:pStyle w:val="ListParagraph"/>
        <w:numPr>
          <w:ilvl w:val="2"/>
          <w:numId w:val="8"/>
        </w:numPr>
      </w:pPr>
      <w:r>
        <w:t>Non-general anesthetic</w:t>
      </w:r>
    </w:p>
    <w:p w:rsidR="00C224E2" w:rsidRDefault="00C224E2" w:rsidP="00C224E2">
      <w:pPr>
        <w:pStyle w:val="ListParagraph"/>
        <w:numPr>
          <w:ilvl w:val="2"/>
          <w:numId w:val="8"/>
        </w:numPr>
      </w:pPr>
      <w:r>
        <w:t>General anesthetic without use of inhalational anesthetic</w:t>
      </w:r>
    </w:p>
    <w:p w:rsidR="00C224E2" w:rsidRDefault="00C224E2" w:rsidP="00C224E2">
      <w:pPr>
        <w:pStyle w:val="ListParagraph"/>
        <w:numPr>
          <w:ilvl w:val="2"/>
          <w:numId w:val="8"/>
        </w:numPr>
      </w:pPr>
      <w:r>
        <w:t xml:space="preserve">Fewer than 3 risk factors for PONV (female gender, </w:t>
      </w:r>
      <w:proofErr w:type="spellStart"/>
      <w:r>
        <w:t>non smoker</w:t>
      </w:r>
      <w:proofErr w:type="spellEnd"/>
      <w:r>
        <w:t>, PONV/motion sickness history, opiate administration)</w:t>
      </w:r>
    </w:p>
    <w:p w:rsidR="00C224E2" w:rsidRDefault="00C224E2" w:rsidP="00C224E2">
      <w:pPr>
        <w:pStyle w:val="ListParagraph"/>
        <w:numPr>
          <w:ilvl w:val="1"/>
          <w:numId w:val="8"/>
        </w:numPr>
      </w:pPr>
      <w:r>
        <w:t>Measure</w:t>
      </w:r>
    </w:p>
    <w:p w:rsidR="00C224E2" w:rsidRDefault="00C224E2" w:rsidP="00C224E2">
      <w:pPr>
        <w:pStyle w:val="ListParagraph"/>
        <w:numPr>
          <w:ilvl w:val="2"/>
          <w:numId w:val="8"/>
        </w:numPr>
      </w:pPr>
      <w:r>
        <w:t xml:space="preserve">Patients with administration of 2 or more classes of </w:t>
      </w:r>
      <w:proofErr w:type="spellStart"/>
      <w:r>
        <w:t>antiemetics</w:t>
      </w:r>
      <w:proofErr w:type="spellEnd"/>
      <w:r>
        <w:t xml:space="preserve"> between anesthesia start-6 hours to anesthesia end (5HT3 antagonist, steroids, phenothiazine, IM ephedrine, </w:t>
      </w:r>
      <w:proofErr w:type="spellStart"/>
      <w:r>
        <w:t>butyrophenone</w:t>
      </w:r>
      <w:proofErr w:type="spellEnd"/>
      <w:r>
        <w:t>, antihistamine, or anticholinergic)</w:t>
      </w:r>
    </w:p>
    <w:p w:rsidR="00C224E2" w:rsidRDefault="00C224E2" w:rsidP="00C224E2">
      <w:pPr>
        <w:pStyle w:val="ListParagraph"/>
        <w:numPr>
          <w:ilvl w:val="1"/>
          <w:numId w:val="8"/>
        </w:numPr>
      </w:pPr>
      <w:r>
        <w:t>Thresholds</w:t>
      </w:r>
    </w:p>
    <w:p w:rsidR="00C224E2" w:rsidRDefault="00C224E2" w:rsidP="00C224E2">
      <w:pPr>
        <w:pStyle w:val="ListParagraph"/>
        <w:numPr>
          <w:ilvl w:val="2"/>
          <w:numId w:val="8"/>
        </w:numPr>
      </w:pPr>
      <w:r>
        <w:t>95%</w:t>
      </w:r>
    </w:p>
    <w:p w:rsidR="00911860" w:rsidRDefault="00911860" w:rsidP="009C6BAC">
      <w:pPr>
        <w:pStyle w:val="Heading2"/>
      </w:pPr>
      <w:r>
        <w:t>Clinical outcome</w:t>
      </w:r>
    </w:p>
    <w:p w:rsidR="00561045" w:rsidRDefault="00561045" w:rsidP="00561045">
      <w:pPr>
        <w:pStyle w:val="ListParagraph"/>
        <w:numPr>
          <w:ilvl w:val="0"/>
          <w:numId w:val="11"/>
        </w:numPr>
      </w:pPr>
      <w:r>
        <w:t>Medication overdosing</w:t>
      </w:r>
    </w:p>
    <w:p w:rsidR="00561045" w:rsidRDefault="00561045" w:rsidP="00561045">
      <w:pPr>
        <w:pStyle w:val="ListParagraph"/>
        <w:numPr>
          <w:ilvl w:val="1"/>
          <w:numId w:val="11"/>
        </w:numPr>
      </w:pPr>
      <w:r>
        <w:t>Exclusions</w:t>
      </w:r>
    </w:p>
    <w:p w:rsidR="00561045" w:rsidRDefault="00561045" w:rsidP="00561045">
      <w:pPr>
        <w:pStyle w:val="ListParagraph"/>
        <w:numPr>
          <w:ilvl w:val="2"/>
          <w:numId w:val="11"/>
        </w:numPr>
      </w:pPr>
      <w:r>
        <w:t>Electroconvulsive therapy patients</w:t>
      </w:r>
    </w:p>
    <w:p w:rsidR="00561045" w:rsidRDefault="00561045" w:rsidP="00561045">
      <w:pPr>
        <w:pStyle w:val="ListParagraph"/>
        <w:numPr>
          <w:ilvl w:val="1"/>
          <w:numId w:val="11"/>
        </w:numPr>
      </w:pPr>
      <w:r>
        <w:t>Measures</w:t>
      </w:r>
    </w:p>
    <w:p w:rsidR="00561045" w:rsidRDefault="00561045" w:rsidP="00561045">
      <w:pPr>
        <w:pStyle w:val="ListParagraph"/>
        <w:numPr>
          <w:ilvl w:val="2"/>
          <w:numId w:val="11"/>
        </w:numPr>
      </w:pPr>
      <w:r>
        <w:t>Any patient receiving any dose of naloxone</w:t>
      </w:r>
    </w:p>
    <w:p w:rsidR="00561045" w:rsidRDefault="00561045" w:rsidP="00561045">
      <w:pPr>
        <w:pStyle w:val="ListParagraph"/>
        <w:numPr>
          <w:ilvl w:val="2"/>
          <w:numId w:val="11"/>
        </w:numPr>
      </w:pPr>
      <w:r>
        <w:t>Any patient receiving any dose of flumazenil</w:t>
      </w:r>
    </w:p>
    <w:p w:rsidR="00561045" w:rsidRDefault="00561045" w:rsidP="00561045">
      <w:pPr>
        <w:pStyle w:val="ListParagraph"/>
        <w:numPr>
          <w:ilvl w:val="1"/>
          <w:numId w:val="11"/>
        </w:numPr>
      </w:pPr>
      <w:r>
        <w:t>Thresholds</w:t>
      </w:r>
    </w:p>
    <w:p w:rsidR="007260F2" w:rsidRDefault="007260F2" w:rsidP="007260F2">
      <w:pPr>
        <w:pStyle w:val="ListParagraph"/>
        <w:numPr>
          <w:ilvl w:val="2"/>
          <w:numId w:val="11"/>
        </w:numPr>
      </w:pPr>
      <w:r>
        <w:t>0</w:t>
      </w:r>
    </w:p>
    <w:p w:rsidR="00561045" w:rsidRDefault="00561045" w:rsidP="00561045">
      <w:pPr>
        <w:pStyle w:val="ListParagraph"/>
        <w:numPr>
          <w:ilvl w:val="0"/>
          <w:numId w:val="11"/>
        </w:numPr>
      </w:pPr>
      <w:r>
        <w:t>End organ damage or failure</w:t>
      </w:r>
    </w:p>
    <w:p w:rsidR="00561045" w:rsidRDefault="00561045" w:rsidP="00561045">
      <w:pPr>
        <w:pStyle w:val="ListParagraph"/>
        <w:numPr>
          <w:ilvl w:val="1"/>
          <w:numId w:val="11"/>
        </w:numPr>
      </w:pPr>
      <w:r>
        <w:t>Exclusions</w:t>
      </w:r>
    </w:p>
    <w:p w:rsidR="00561045" w:rsidRDefault="00561045" w:rsidP="00561045">
      <w:pPr>
        <w:pStyle w:val="ListParagraph"/>
        <w:numPr>
          <w:ilvl w:val="2"/>
          <w:numId w:val="11"/>
        </w:numPr>
      </w:pPr>
      <w:r>
        <w:t>Arrived to OR intubated</w:t>
      </w:r>
    </w:p>
    <w:p w:rsidR="00561045" w:rsidRDefault="00561045" w:rsidP="00561045">
      <w:pPr>
        <w:pStyle w:val="ListParagraph"/>
        <w:numPr>
          <w:ilvl w:val="2"/>
          <w:numId w:val="11"/>
        </w:numPr>
      </w:pPr>
      <w:r>
        <w:t>Serum Troponin</w:t>
      </w:r>
      <w:r w:rsidR="00C224E2">
        <w:t>-I measured within 6</w:t>
      </w:r>
      <w:r>
        <w:t>0 days prior to anesthesia start</w:t>
      </w:r>
    </w:p>
    <w:p w:rsidR="00561045" w:rsidRDefault="00561045" w:rsidP="00561045">
      <w:pPr>
        <w:pStyle w:val="ListParagraph"/>
        <w:numPr>
          <w:ilvl w:val="2"/>
          <w:numId w:val="11"/>
        </w:numPr>
      </w:pPr>
      <w:r>
        <w:t>Baseline</w:t>
      </w:r>
      <w:r w:rsidR="00C224E2">
        <w:t xml:space="preserve"> serum creatinine &gt; 4.0 within 6</w:t>
      </w:r>
      <w:r>
        <w:t>0 days prior to anesthesia start</w:t>
      </w:r>
    </w:p>
    <w:p w:rsidR="00561045" w:rsidRDefault="00561045" w:rsidP="00561045">
      <w:pPr>
        <w:pStyle w:val="ListParagraph"/>
        <w:numPr>
          <w:ilvl w:val="1"/>
          <w:numId w:val="11"/>
        </w:numPr>
      </w:pPr>
      <w:r>
        <w:t>Measures</w:t>
      </w:r>
    </w:p>
    <w:p w:rsidR="00561045" w:rsidRDefault="00561045" w:rsidP="00C224E2">
      <w:pPr>
        <w:pStyle w:val="ListParagraph"/>
        <w:numPr>
          <w:ilvl w:val="2"/>
          <w:numId w:val="11"/>
        </w:numPr>
      </w:pPr>
      <w:proofErr w:type="spellStart"/>
      <w:r>
        <w:t>Reintubated</w:t>
      </w:r>
      <w:proofErr w:type="spellEnd"/>
      <w:r>
        <w:t xml:space="preserve"> in recovery room or operating room</w:t>
      </w:r>
    </w:p>
    <w:p w:rsidR="00561045" w:rsidRDefault="00F56DEA" w:rsidP="00561045">
      <w:pPr>
        <w:pStyle w:val="ListParagraph"/>
        <w:numPr>
          <w:ilvl w:val="2"/>
          <w:numId w:val="11"/>
        </w:numPr>
      </w:pPr>
      <w:r>
        <w:t>Postoperative troponin-I &gt; 1.00 within 4 postoperative days</w:t>
      </w:r>
    </w:p>
    <w:p w:rsidR="00F56DEA" w:rsidRDefault="00F56DEA" w:rsidP="00561045">
      <w:pPr>
        <w:pStyle w:val="ListParagraph"/>
        <w:numPr>
          <w:ilvl w:val="2"/>
          <w:numId w:val="11"/>
        </w:numPr>
      </w:pPr>
      <w:r>
        <w:t>Postoperative Stage I, kidney injury (KDIGO criteria)</w:t>
      </w:r>
    </w:p>
    <w:p w:rsidR="00F56DEA" w:rsidRDefault="00F56DEA" w:rsidP="00F56DEA">
      <w:pPr>
        <w:pStyle w:val="ListParagraph"/>
        <w:numPr>
          <w:ilvl w:val="3"/>
          <w:numId w:val="11"/>
        </w:numPr>
      </w:pPr>
      <w:r>
        <w:t>1.5 x baseline serum creatinine (measured within 60 preoperative days) observed in first 7 postoperative days</w:t>
      </w:r>
    </w:p>
    <w:p w:rsidR="00F56DEA" w:rsidRDefault="00F56DEA" w:rsidP="00F56DEA">
      <w:pPr>
        <w:pStyle w:val="ListParagraph"/>
        <w:numPr>
          <w:ilvl w:val="3"/>
          <w:numId w:val="11"/>
        </w:numPr>
      </w:pPr>
      <w:r>
        <w:t>0.3 mg/dl rise in creatinine within 48 hours</w:t>
      </w:r>
    </w:p>
    <w:p w:rsidR="00C224E2" w:rsidRDefault="00C224E2" w:rsidP="00C224E2">
      <w:pPr>
        <w:pStyle w:val="ListParagraph"/>
        <w:numPr>
          <w:ilvl w:val="1"/>
          <w:numId w:val="11"/>
        </w:numPr>
      </w:pPr>
      <w:r>
        <w:t>Thresholds</w:t>
      </w:r>
    </w:p>
    <w:p w:rsidR="00C224E2" w:rsidRDefault="00C224E2" w:rsidP="00C224E2">
      <w:pPr>
        <w:pStyle w:val="ListParagraph"/>
        <w:numPr>
          <w:ilvl w:val="2"/>
          <w:numId w:val="11"/>
        </w:numPr>
      </w:pPr>
      <w:r>
        <w:t>In development</w:t>
      </w:r>
    </w:p>
    <w:p w:rsidR="00C224E2" w:rsidRDefault="00C224E2" w:rsidP="00C224E2">
      <w:pPr>
        <w:pStyle w:val="ListParagraph"/>
        <w:numPr>
          <w:ilvl w:val="0"/>
          <w:numId w:val="11"/>
        </w:numPr>
      </w:pPr>
      <w:r>
        <w:t>Pain management</w:t>
      </w:r>
    </w:p>
    <w:p w:rsidR="00C224E2" w:rsidRDefault="00C224E2" w:rsidP="00C224E2">
      <w:pPr>
        <w:pStyle w:val="ListParagraph"/>
        <w:numPr>
          <w:ilvl w:val="1"/>
          <w:numId w:val="11"/>
        </w:numPr>
      </w:pPr>
      <w:r>
        <w:lastRenderedPageBreak/>
        <w:t>Exclusions</w:t>
      </w:r>
    </w:p>
    <w:p w:rsidR="00C224E2" w:rsidRDefault="00C224E2" w:rsidP="00C224E2">
      <w:pPr>
        <w:pStyle w:val="ListParagraph"/>
        <w:numPr>
          <w:ilvl w:val="2"/>
          <w:numId w:val="11"/>
        </w:numPr>
      </w:pPr>
      <w:r>
        <w:t>Any patient with baseline preoperative pain score &gt;=2 (on VAS scale 1 – 10)</w:t>
      </w:r>
    </w:p>
    <w:p w:rsidR="00C224E2" w:rsidRDefault="00C224E2" w:rsidP="00C224E2">
      <w:pPr>
        <w:pStyle w:val="ListParagraph"/>
        <w:numPr>
          <w:ilvl w:val="1"/>
          <w:numId w:val="11"/>
        </w:numPr>
      </w:pPr>
      <w:r>
        <w:t>Measure</w:t>
      </w:r>
      <w:r>
        <w:tab/>
      </w:r>
    </w:p>
    <w:p w:rsidR="00C224E2" w:rsidRDefault="00C224E2" w:rsidP="00C224E2">
      <w:pPr>
        <w:pStyle w:val="ListParagraph"/>
        <w:numPr>
          <w:ilvl w:val="2"/>
          <w:numId w:val="11"/>
        </w:numPr>
      </w:pPr>
      <w:r>
        <w:t xml:space="preserve">Peak pain score in recovery &lt;= 5 </w:t>
      </w:r>
    </w:p>
    <w:p w:rsidR="00C224E2" w:rsidRDefault="00C224E2" w:rsidP="00C224E2">
      <w:pPr>
        <w:pStyle w:val="ListParagraph"/>
        <w:numPr>
          <w:ilvl w:val="2"/>
          <w:numId w:val="11"/>
        </w:numPr>
      </w:pPr>
      <w:r>
        <w:t>Peak pain score in recovery &lt;= 8</w:t>
      </w:r>
    </w:p>
    <w:p w:rsidR="007260F2" w:rsidRDefault="007260F2" w:rsidP="007260F2">
      <w:pPr>
        <w:pStyle w:val="ListParagraph"/>
        <w:numPr>
          <w:ilvl w:val="1"/>
          <w:numId w:val="11"/>
        </w:numPr>
      </w:pPr>
      <w:r>
        <w:t>Thresholds</w:t>
      </w:r>
    </w:p>
    <w:p w:rsidR="007260F2" w:rsidRDefault="007260F2" w:rsidP="007260F2">
      <w:pPr>
        <w:pStyle w:val="ListParagraph"/>
        <w:numPr>
          <w:ilvl w:val="2"/>
          <w:numId w:val="11"/>
        </w:numPr>
      </w:pPr>
      <w:r>
        <w:t>In development</w:t>
      </w:r>
    </w:p>
    <w:p w:rsidR="00616555" w:rsidRDefault="00F56DEA" w:rsidP="00F56DEA">
      <w:pPr>
        <w:pStyle w:val="Heading2"/>
      </w:pPr>
      <w:r>
        <w:t>Exploratory variation in care analyses</w:t>
      </w:r>
    </w:p>
    <w:p w:rsidR="00F56DEA" w:rsidRDefault="00F56DEA" w:rsidP="00F56DEA">
      <w:pPr>
        <w:pStyle w:val="ListParagraph"/>
        <w:numPr>
          <w:ilvl w:val="0"/>
          <w:numId w:val="12"/>
        </w:numPr>
      </w:pPr>
      <w:r>
        <w:t>Anesthesia technique</w:t>
      </w:r>
    </w:p>
    <w:p w:rsidR="00F56DEA" w:rsidRDefault="00F56DEA" w:rsidP="00F56DEA">
      <w:pPr>
        <w:pStyle w:val="ListParagraph"/>
        <w:numPr>
          <w:ilvl w:val="1"/>
          <w:numId w:val="12"/>
        </w:numPr>
      </w:pPr>
      <w:r>
        <w:t xml:space="preserve">Patients with an arterial line </w:t>
      </w:r>
    </w:p>
    <w:p w:rsidR="00F56DEA" w:rsidRDefault="00F56DEA" w:rsidP="00F56DEA">
      <w:pPr>
        <w:pStyle w:val="ListParagraph"/>
        <w:numPr>
          <w:ilvl w:val="1"/>
          <w:numId w:val="12"/>
        </w:numPr>
      </w:pPr>
      <w:r>
        <w:t>Patients with a central venous catheter</w:t>
      </w:r>
    </w:p>
    <w:p w:rsidR="00F56DEA" w:rsidRDefault="00F56DEA" w:rsidP="00F56DEA">
      <w:pPr>
        <w:pStyle w:val="ListParagraph"/>
        <w:numPr>
          <w:ilvl w:val="1"/>
          <w:numId w:val="12"/>
        </w:numPr>
      </w:pPr>
      <w:r>
        <w:t xml:space="preserve">Patients receiving a general anesthetic </w:t>
      </w:r>
    </w:p>
    <w:p w:rsidR="00F56DEA" w:rsidRDefault="00F56DEA" w:rsidP="00F56DEA">
      <w:pPr>
        <w:pStyle w:val="ListParagraph"/>
        <w:numPr>
          <w:ilvl w:val="1"/>
          <w:numId w:val="12"/>
        </w:numPr>
      </w:pPr>
      <w:r>
        <w:t xml:space="preserve">Patients receiving a Peripheral nerve block </w:t>
      </w:r>
    </w:p>
    <w:p w:rsidR="00F56DEA" w:rsidRDefault="00F56DEA" w:rsidP="00F56DEA">
      <w:pPr>
        <w:pStyle w:val="ListParagraph"/>
        <w:numPr>
          <w:ilvl w:val="1"/>
          <w:numId w:val="12"/>
        </w:numPr>
      </w:pPr>
      <w:r>
        <w:t xml:space="preserve">Patients receiving an epidural </w:t>
      </w:r>
    </w:p>
    <w:p w:rsidR="00F56DEA" w:rsidRDefault="00F56DEA" w:rsidP="00F56DEA">
      <w:pPr>
        <w:pStyle w:val="ListParagraph"/>
        <w:numPr>
          <w:ilvl w:val="1"/>
          <w:numId w:val="12"/>
        </w:numPr>
      </w:pPr>
      <w:r>
        <w:t xml:space="preserve">Patients receiving a spinal </w:t>
      </w:r>
    </w:p>
    <w:p w:rsidR="008B2C4E" w:rsidRDefault="00F56DEA" w:rsidP="00F56DEA">
      <w:pPr>
        <w:pStyle w:val="ListParagraph"/>
        <w:numPr>
          <w:ilvl w:val="1"/>
          <w:numId w:val="12"/>
        </w:numPr>
      </w:pPr>
      <w:r>
        <w:t>Patients receiving a spinal and a GA</w:t>
      </w:r>
    </w:p>
    <w:sectPr w:rsidR="008B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44"/>
    <w:multiLevelType w:val="hybridMultilevel"/>
    <w:tmpl w:val="1DF8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562"/>
    <w:multiLevelType w:val="hybridMultilevel"/>
    <w:tmpl w:val="27983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9E3A63"/>
    <w:multiLevelType w:val="hybridMultilevel"/>
    <w:tmpl w:val="426A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436E"/>
    <w:multiLevelType w:val="hybridMultilevel"/>
    <w:tmpl w:val="29B8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45C3D"/>
    <w:multiLevelType w:val="hybridMultilevel"/>
    <w:tmpl w:val="D34A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752C"/>
    <w:multiLevelType w:val="hybridMultilevel"/>
    <w:tmpl w:val="F12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D7EDE"/>
    <w:multiLevelType w:val="hybridMultilevel"/>
    <w:tmpl w:val="AB486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E7CC9"/>
    <w:multiLevelType w:val="hybridMultilevel"/>
    <w:tmpl w:val="EC0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0471"/>
    <w:multiLevelType w:val="hybridMultilevel"/>
    <w:tmpl w:val="243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C5AE8"/>
    <w:multiLevelType w:val="hybridMultilevel"/>
    <w:tmpl w:val="6AA2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A5835"/>
    <w:multiLevelType w:val="hybridMultilevel"/>
    <w:tmpl w:val="633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C30C2"/>
    <w:multiLevelType w:val="hybridMultilevel"/>
    <w:tmpl w:val="736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9"/>
    <w:rsid w:val="00076A0E"/>
    <w:rsid w:val="00234C29"/>
    <w:rsid w:val="003763A2"/>
    <w:rsid w:val="0039644D"/>
    <w:rsid w:val="00561045"/>
    <w:rsid w:val="00616555"/>
    <w:rsid w:val="006E424F"/>
    <w:rsid w:val="007260F2"/>
    <w:rsid w:val="00752183"/>
    <w:rsid w:val="008B2C4E"/>
    <w:rsid w:val="00911860"/>
    <w:rsid w:val="009C6BAC"/>
    <w:rsid w:val="00C224E2"/>
    <w:rsid w:val="00C24303"/>
    <w:rsid w:val="00DF1445"/>
    <w:rsid w:val="00DF5339"/>
    <w:rsid w:val="00E93710"/>
    <w:rsid w:val="00F56DEA"/>
    <w:rsid w:val="00F76EE5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9"/>
    <w:pPr>
      <w:spacing w:before="200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3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430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9"/>
    <w:pPr>
      <w:spacing w:before="200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3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430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Sachin Kheterpal</dc:creator>
  <cp:lastModifiedBy>Lacca, Victoria</cp:lastModifiedBy>
  <cp:revision>3</cp:revision>
  <dcterms:created xsi:type="dcterms:W3CDTF">2014-06-20T17:42:00Z</dcterms:created>
  <dcterms:modified xsi:type="dcterms:W3CDTF">2014-06-20T17:53:00Z</dcterms:modified>
</cp:coreProperties>
</file>