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6B6" w:rsidRPr="006C3FD0" w:rsidRDefault="006C3FD0" w:rsidP="006C3FD0">
      <w:pPr>
        <w:jc w:val="center"/>
        <w:rPr>
          <w:b/>
        </w:rPr>
      </w:pPr>
      <w:r w:rsidRPr="006C3FD0">
        <w:rPr>
          <w:b/>
        </w:rPr>
        <w:t>Process of Care Measure</w:t>
      </w:r>
      <w:r>
        <w:rPr>
          <w:b/>
        </w:rPr>
        <w:t>: NMB 1</w:t>
      </w:r>
    </w:p>
    <w:p w:rsidR="009561D1" w:rsidRDefault="009561D1">
      <w:r>
        <w:t>Train of Four Monitor Documented After Last Dose of Non-depolarizing Neuromuscular Blocker</w:t>
      </w:r>
    </w:p>
    <w:p w:rsidR="009561D1" w:rsidRPr="006C3FD0" w:rsidRDefault="006C3FD0">
      <w:pPr>
        <w:rPr>
          <w:b/>
        </w:rPr>
      </w:pPr>
      <w:r w:rsidRPr="006C3FD0">
        <w:rPr>
          <w:b/>
        </w:rPr>
        <w:t>Measure</w:t>
      </w:r>
      <w:r w:rsidR="009561D1" w:rsidRPr="006C3FD0">
        <w:rPr>
          <w:b/>
        </w:rPr>
        <w:t xml:space="preserve"> Summary:</w:t>
      </w:r>
    </w:p>
    <w:p w:rsidR="003D1479" w:rsidRDefault="005F38F8">
      <w:r>
        <w:t xml:space="preserve">The Train of Four Documented measure tells you the percentage </w:t>
      </w:r>
      <w:r w:rsidR="00B87EAF">
        <w:t>of your cases where you documented a Train of Four count</w:t>
      </w:r>
      <w:r w:rsidR="00013331">
        <w:t xml:space="preserve"> or </w:t>
      </w:r>
      <w:proofErr w:type="spellStart"/>
      <w:r w:rsidR="00013331">
        <w:t>acceleromyography</w:t>
      </w:r>
      <w:proofErr w:type="spellEnd"/>
      <w:r w:rsidR="00B87EAF">
        <w:t xml:space="preserve"> </w:t>
      </w:r>
      <w:r w:rsidR="00291FE1">
        <w:t xml:space="preserve">results </w:t>
      </w:r>
      <w:r w:rsidR="00B87EAF">
        <w:t>after the last dose of a non-depolarizing muscle relaxant.  The purpose of this quality measure is to help reduce the number of patients who have residual neuromuscular blockade after extubation.</w:t>
      </w:r>
      <w:r w:rsidR="00013331">
        <w:t xml:space="preserve">  </w:t>
      </w:r>
      <w:r w:rsidR="00BF1053">
        <w:t xml:space="preserve"> Several </w:t>
      </w:r>
      <w:r w:rsidR="003D1479">
        <w:t xml:space="preserve">older </w:t>
      </w:r>
      <w:r w:rsidR="00BF1053">
        <w:t>studies have been published that found associations between the use neuromuscular blockade agents and anesthesia related mortality</w:t>
      </w:r>
      <w:r w:rsidR="003D1479">
        <w:t xml:space="preserve">.   A more recent study found an association between use of </w:t>
      </w:r>
      <w:r w:rsidR="0060770B">
        <w:t>neuromuscular blockers</w:t>
      </w:r>
      <w:r w:rsidR="003D1479">
        <w:t xml:space="preserve"> and adverse postoperative respiratory outcomes, but did not find benefit from the use of Train of </w:t>
      </w:r>
      <w:proofErr w:type="gramStart"/>
      <w:r w:rsidR="003D1479">
        <w:t>Four</w:t>
      </w:r>
      <w:proofErr w:type="gramEnd"/>
      <w:r w:rsidR="003D1479">
        <w:t xml:space="preserve"> m</w:t>
      </w:r>
      <w:r w:rsidR="00CD66EA">
        <w:t>onitoring or administration of n</w:t>
      </w:r>
      <w:bookmarkStart w:id="0" w:name="_GoBack"/>
      <w:bookmarkEnd w:id="0"/>
      <w:r w:rsidR="003D1479">
        <w:t xml:space="preserve">eostigmine.  </w:t>
      </w:r>
      <w:r w:rsidR="00291FE1">
        <w:t>Still</w:t>
      </w:r>
      <w:r w:rsidR="00051EA1">
        <w:t>, a mainstay of residual blockade prevention is continues to be monitoring to allow for detection.</w:t>
      </w:r>
    </w:p>
    <w:p w:rsidR="00051EA1" w:rsidRDefault="00051EA1">
      <w:r w:rsidRPr="006C3FD0">
        <w:rPr>
          <w:b/>
        </w:rPr>
        <w:t>Inclusions</w:t>
      </w:r>
      <w:r>
        <w:t>:</w:t>
      </w:r>
    </w:p>
    <w:p w:rsidR="00051EA1" w:rsidRDefault="00051EA1">
      <w:r>
        <w:t xml:space="preserve">All patients that have received </w:t>
      </w:r>
      <w:r w:rsidR="0060770B">
        <w:t xml:space="preserve">either by bolus or infusion </w:t>
      </w:r>
      <w:r>
        <w:t>a non-polarizing neuromuscular blocker</w:t>
      </w:r>
      <w:r w:rsidR="0060770B">
        <w:t xml:space="preserve"> (NMB) AND were </w:t>
      </w:r>
      <w:proofErr w:type="spellStart"/>
      <w:r w:rsidR="0060770B">
        <w:t>extubated</w:t>
      </w:r>
      <w:proofErr w:type="spellEnd"/>
      <w:r w:rsidR="0060770B">
        <w:t xml:space="preserve"> post-operatively or in the PACU.  The following NMBs were included:</w:t>
      </w:r>
    </w:p>
    <w:p w:rsidR="0060770B" w:rsidRDefault="0060770B" w:rsidP="0060770B">
      <w:pPr>
        <w:pStyle w:val="ListParagraph"/>
        <w:numPr>
          <w:ilvl w:val="0"/>
          <w:numId w:val="5"/>
        </w:numPr>
      </w:pPr>
      <w:proofErr w:type="spellStart"/>
      <w:r>
        <w:t>Atracurium</w:t>
      </w:r>
      <w:proofErr w:type="spellEnd"/>
    </w:p>
    <w:p w:rsidR="0060770B" w:rsidRDefault="0060770B" w:rsidP="0060770B">
      <w:pPr>
        <w:pStyle w:val="ListParagraph"/>
        <w:numPr>
          <w:ilvl w:val="0"/>
          <w:numId w:val="5"/>
        </w:numPr>
      </w:pPr>
      <w:proofErr w:type="spellStart"/>
      <w:r>
        <w:t>Cisatracurium</w:t>
      </w:r>
      <w:proofErr w:type="spellEnd"/>
    </w:p>
    <w:p w:rsidR="0060770B" w:rsidRDefault="0060770B" w:rsidP="0060770B">
      <w:pPr>
        <w:pStyle w:val="ListParagraph"/>
        <w:numPr>
          <w:ilvl w:val="0"/>
          <w:numId w:val="5"/>
        </w:numPr>
      </w:pPr>
      <w:proofErr w:type="spellStart"/>
      <w:r>
        <w:t>Pancuronium</w:t>
      </w:r>
      <w:proofErr w:type="spellEnd"/>
    </w:p>
    <w:p w:rsidR="0060770B" w:rsidRDefault="0060770B" w:rsidP="0060770B">
      <w:pPr>
        <w:pStyle w:val="ListParagraph"/>
        <w:numPr>
          <w:ilvl w:val="0"/>
          <w:numId w:val="5"/>
        </w:numPr>
      </w:pPr>
      <w:proofErr w:type="spellStart"/>
      <w:r>
        <w:t>Rocuronium</w:t>
      </w:r>
      <w:proofErr w:type="spellEnd"/>
    </w:p>
    <w:p w:rsidR="0060770B" w:rsidRDefault="0060770B" w:rsidP="0060770B">
      <w:pPr>
        <w:pStyle w:val="ListParagraph"/>
        <w:numPr>
          <w:ilvl w:val="0"/>
          <w:numId w:val="5"/>
        </w:numPr>
      </w:pPr>
      <w:proofErr w:type="spellStart"/>
      <w:r>
        <w:t>Vecuronium</w:t>
      </w:r>
      <w:proofErr w:type="spellEnd"/>
    </w:p>
    <w:p w:rsidR="0060770B" w:rsidRDefault="0060770B"/>
    <w:p w:rsidR="000F0786" w:rsidRDefault="000F0786">
      <w:r>
        <w:t>Older drugs (</w:t>
      </w:r>
      <w:proofErr w:type="spellStart"/>
      <w:r>
        <w:t>Mivacurium</w:t>
      </w:r>
      <w:proofErr w:type="spellEnd"/>
      <w:r>
        <w:t xml:space="preserve"> and </w:t>
      </w:r>
      <w:proofErr w:type="spellStart"/>
      <w:r>
        <w:t>Doxacurium</w:t>
      </w:r>
      <w:proofErr w:type="spellEnd"/>
      <w:r>
        <w:t>) were not included</w:t>
      </w:r>
    </w:p>
    <w:p w:rsidR="000F0786" w:rsidRPr="006C3FD0" w:rsidRDefault="000F0786">
      <w:pPr>
        <w:rPr>
          <w:b/>
        </w:rPr>
      </w:pPr>
      <w:r w:rsidRPr="006C3FD0">
        <w:rPr>
          <w:b/>
        </w:rPr>
        <w:t>Exclusions:</w:t>
      </w:r>
    </w:p>
    <w:p w:rsidR="000F0786" w:rsidRDefault="000F0786" w:rsidP="000F0786">
      <w:pPr>
        <w:pStyle w:val="ListParagraph"/>
        <w:numPr>
          <w:ilvl w:val="0"/>
          <w:numId w:val="6"/>
        </w:numPr>
      </w:pPr>
      <w:r>
        <w:t>Cardiac Cases</w:t>
      </w:r>
    </w:p>
    <w:p w:rsidR="000F0786" w:rsidRDefault="000F0786" w:rsidP="000F0786">
      <w:pPr>
        <w:pStyle w:val="ListParagraph"/>
        <w:numPr>
          <w:ilvl w:val="0"/>
          <w:numId w:val="6"/>
        </w:numPr>
      </w:pPr>
      <w:r>
        <w:t>Liver Transplant Cases</w:t>
      </w:r>
    </w:p>
    <w:p w:rsidR="0060770B" w:rsidRDefault="0060770B"/>
    <w:p w:rsidR="006C3FD0" w:rsidRDefault="006C3FD0" w:rsidP="006C3FD0">
      <w:r>
        <w:t xml:space="preserve">The responsible provider is the provider signed in at time of extubation or anesthesia end if extubation time is not available.  </w:t>
      </w:r>
    </w:p>
    <w:p w:rsidR="006C3FD0" w:rsidRDefault="000F0786" w:rsidP="006C3FD0">
      <w:r>
        <w:t xml:space="preserve">Success counted as documentation of either a Train of Four count (1, 2, 3, </w:t>
      </w:r>
      <w:r w:rsidR="006C3FD0">
        <w:t>or 4</w:t>
      </w:r>
      <w:r>
        <w:t xml:space="preserve">) or TOF ratio </w:t>
      </w:r>
      <w:r w:rsidR="006C3FD0">
        <w:t xml:space="preserve">provided by </w:t>
      </w:r>
      <w:proofErr w:type="spellStart"/>
      <w:r w:rsidR="006C3FD0">
        <w:t>acceleromyography</w:t>
      </w:r>
      <w:proofErr w:type="spellEnd"/>
      <w:r w:rsidR="006C3FD0">
        <w:t xml:space="preserve"> AFTER last dose or stopping of infusion of neuromuscular blocker.  </w:t>
      </w:r>
    </w:p>
    <w:p w:rsidR="000F0786" w:rsidRDefault="000F0786"/>
    <w:p w:rsidR="006C3FD0" w:rsidRPr="006C3FD0" w:rsidRDefault="006C3FD0" w:rsidP="00051EA1">
      <w:pPr>
        <w:autoSpaceDE w:val="0"/>
        <w:autoSpaceDN w:val="0"/>
        <w:adjustRightInd w:val="0"/>
        <w:spacing w:after="120" w:line="240" w:lineRule="auto"/>
        <w:rPr>
          <w:rFonts w:eastAsia="FreeSans" w:cs="FreeSans"/>
          <w:b/>
        </w:rPr>
      </w:pPr>
      <w:r w:rsidRPr="006C3FD0">
        <w:rPr>
          <w:rFonts w:eastAsia="FreeSans" w:cs="FreeSans"/>
          <w:b/>
        </w:rPr>
        <w:t>References</w:t>
      </w:r>
    </w:p>
    <w:p w:rsidR="003D1479" w:rsidRPr="00051EA1" w:rsidRDefault="003D1479" w:rsidP="00051EA1">
      <w:pPr>
        <w:autoSpaceDE w:val="0"/>
        <w:autoSpaceDN w:val="0"/>
        <w:adjustRightInd w:val="0"/>
        <w:spacing w:after="120" w:line="240" w:lineRule="auto"/>
        <w:rPr>
          <w:rFonts w:eastAsia="FreeSans" w:cs="FreeSans"/>
        </w:rPr>
      </w:pPr>
      <w:r w:rsidRPr="00291FE1">
        <w:rPr>
          <w:rFonts w:eastAsia="FreeSans" w:cs="FreeSans"/>
        </w:rPr>
        <w:t xml:space="preserve">Pedersen T, </w:t>
      </w:r>
      <w:proofErr w:type="spellStart"/>
      <w:r w:rsidRPr="00291FE1">
        <w:rPr>
          <w:rFonts w:eastAsia="FreeSans" w:cs="FreeSans"/>
        </w:rPr>
        <w:t>Viby-Mogensen</w:t>
      </w:r>
      <w:proofErr w:type="spellEnd"/>
      <w:r w:rsidRPr="00291FE1">
        <w:rPr>
          <w:rFonts w:eastAsia="FreeSans" w:cs="FreeSans"/>
        </w:rPr>
        <w:t xml:space="preserve"> J, Ringsted C. </w:t>
      </w:r>
      <w:proofErr w:type="spellStart"/>
      <w:r w:rsidRPr="00291FE1">
        <w:rPr>
          <w:rFonts w:eastAsia="FreeSans" w:cs="FreeSans"/>
        </w:rPr>
        <w:t>Anaesthetic</w:t>
      </w:r>
      <w:proofErr w:type="spellEnd"/>
      <w:r w:rsidRPr="00291FE1">
        <w:rPr>
          <w:rFonts w:eastAsia="FreeSans" w:cs="FreeSans"/>
        </w:rPr>
        <w:t xml:space="preserve"> practice and postoperative</w:t>
      </w:r>
      <w:r w:rsidR="00291FE1">
        <w:rPr>
          <w:rFonts w:eastAsia="FreeSans" w:cs="FreeSans"/>
        </w:rPr>
        <w:t xml:space="preserve"> </w:t>
      </w:r>
      <w:r w:rsidRPr="00291FE1">
        <w:rPr>
          <w:rFonts w:eastAsia="FreeSans" w:cs="FreeSans"/>
        </w:rPr>
        <w:t xml:space="preserve">pulmonary complications. </w:t>
      </w:r>
      <w:proofErr w:type="spellStart"/>
      <w:r w:rsidRPr="00291FE1">
        <w:rPr>
          <w:rFonts w:cs="FreeSansOblique"/>
          <w:i/>
          <w:iCs/>
        </w:rPr>
        <w:t>Acta</w:t>
      </w:r>
      <w:proofErr w:type="spellEnd"/>
      <w:r w:rsidRPr="00291FE1">
        <w:rPr>
          <w:rFonts w:cs="FreeSansOblique"/>
          <w:i/>
          <w:iCs/>
        </w:rPr>
        <w:t xml:space="preserve"> </w:t>
      </w:r>
      <w:proofErr w:type="spellStart"/>
      <w:r w:rsidRPr="00291FE1">
        <w:rPr>
          <w:rFonts w:cs="FreeSansOblique"/>
          <w:i/>
          <w:iCs/>
        </w:rPr>
        <w:t>Anaesthesiol</w:t>
      </w:r>
      <w:proofErr w:type="spellEnd"/>
      <w:r w:rsidRPr="00291FE1">
        <w:rPr>
          <w:rFonts w:cs="FreeSansOblique"/>
          <w:i/>
          <w:iCs/>
        </w:rPr>
        <w:t xml:space="preserve"> </w:t>
      </w:r>
      <w:proofErr w:type="spellStart"/>
      <w:r w:rsidRPr="00291FE1">
        <w:rPr>
          <w:rFonts w:cs="FreeSansOblique"/>
          <w:i/>
          <w:iCs/>
        </w:rPr>
        <w:t>Scand</w:t>
      </w:r>
      <w:proofErr w:type="spellEnd"/>
      <w:r w:rsidRPr="00291FE1">
        <w:rPr>
          <w:rFonts w:cs="FreeSansOblique"/>
          <w:i/>
          <w:iCs/>
        </w:rPr>
        <w:t xml:space="preserve"> </w:t>
      </w:r>
      <w:r w:rsidR="00051EA1">
        <w:rPr>
          <w:rFonts w:eastAsia="FreeSans" w:cs="FreeSans"/>
        </w:rPr>
        <w:t>1992; 36:812-8.</w:t>
      </w:r>
    </w:p>
    <w:p w:rsidR="003D1479" w:rsidRPr="00051EA1" w:rsidRDefault="003D1479" w:rsidP="00051EA1">
      <w:pPr>
        <w:autoSpaceDE w:val="0"/>
        <w:autoSpaceDN w:val="0"/>
        <w:adjustRightInd w:val="0"/>
        <w:spacing w:after="120" w:line="240" w:lineRule="auto"/>
        <w:rPr>
          <w:rFonts w:eastAsia="FreeSans" w:cs="FreeSans"/>
        </w:rPr>
      </w:pPr>
      <w:r w:rsidRPr="00291FE1">
        <w:rPr>
          <w:rFonts w:eastAsia="FreeSans" w:cs="FreeSans"/>
        </w:rPr>
        <w:t>Beecher HK, Todd DP. A study of the deaths associat</w:t>
      </w:r>
      <w:r w:rsidR="00291FE1">
        <w:rPr>
          <w:rFonts w:eastAsia="FreeSans" w:cs="FreeSans"/>
        </w:rPr>
        <w:t xml:space="preserve">ed with anesthesia and surgery: </w:t>
      </w:r>
      <w:r w:rsidRPr="00291FE1">
        <w:rPr>
          <w:rFonts w:eastAsia="FreeSans" w:cs="FreeSans"/>
        </w:rPr>
        <w:t xml:space="preserve">based on a study of 599, 548 </w:t>
      </w:r>
      <w:proofErr w:type="spellStart"/>
      <w:r w:rsidRPr="00291FE1">
        <w:rPr>
          <w:rFonts w:eastAsia="FreeSans" w:cs="FreeSans"/>
        </w:rPr>
        <w:t>anesthesias</w:t>
      </w:r>
      <w:proofErr w:type="spellEnd"/>
      <w:r w:rsidRPr="00291FE1">
        <w:rPr>
          <w:rFonts w:eastAsia="FreeSans" w:cs="FreeSans"/>
        </w:rPr>
        <w:t xml:space="preserve"> in ten institutions 1948-1952, inclusive. </w:t>
      </w:r>
      <w:r w:rsidRPr="00291FE1">
        <w:rPr>
          <w:rFonts w:cs="FreeSansOblique"/>
          <w:i/>
          <w:iCs/>
        </w:rPr>
        <w:t>Ann</w:t>
      </w:r>
      <w:r w:rsidR="00291FE1">
        <w:rPr>
          <w:rFonts w:eastAsia="FreeSans" w:cs="FreeSans"/>
        </w:rPr>
        <w:t xml:space="preserve"> </w:t>
      </w:r>
      <w:proofErr w:type="spellStart"/>
      <w:r w:rsidRPr="00291FE1">
        <w:rPr>
          <w:rFonts w:cs="FreeSansOblique"/>
          <w:i/>
          <w:iCs/>
        </w:rPr>
        <w:t>Surg</w:t>
      </w:r>
      <w:proofErr w:type="spellEnd"/>
      <w:r w:rsidRPr="00291FE1">
        <w:rPr>
          <w:rFonts w:cs="FreeSansOblique"/>
          <w:i/>
          <w:iCs/>
        </w:rPr>
        <w:t xml:space="preserve"> </w:t>
      </w:r>
      <w:r w:rsidRPr="00291FE1">
        <w:rPr>
          <w:rFonts w:eastAsia="FreeSans" w:cs="FreeSans"/>
        </w:rPr>
        <w:t>1954</w:t>
      </w:r>
      <w:r w:rsidR="00051EA1" w:rsidRPr="00291FE1">
        <w:rPr>
          <w:rFonts w:eastAsia="FreeSans" w:cs="FreeSans"/>
        </w:rPr>
        <w:t>; 140:2</w:t>
      </w:r>
      <w:r w:rsidR="00051EA1">
        <w:rPr>
          <w:rFonts w:eastAsia="FreeSans" w:cs="FreeSans"/>
        </w:rPr>
        <w:t>-35.</w:t>
      </w:r>
    </w:p>
    <w:p w:rsidR="003D1479" w:rsidRPr="00291FE1" w:rsidRDefault="003D1479" w:rsidP="00291FE1">
      <w:pPr>
        <w:autoSpaceDE w:val="0"/>
        <w:autoSpaceDN w:val="0"/>
        <w:adjustRightInd w:val="0"/>
        <w:spacing w:after="120" w:line="240" w:lineRule="auto"/>
        <w:rPr>
          <w:rFonts w:cs="FreeSansOblique"/>
          <w:i/>
          <w:iCs/>
        </w:rPr>
      </w:pPr>
      <w:r w:rsidRPr="00291FE1">
        <w:rPr>
          <w:rFonts w:eastAsia="FreeSans" w:cs="FreeSans"/>
        </w:rPr>
        <w:t xml:space="preserve">Harrison GG. Death attributable to </w:t>
      </w:r>
      <w:proofErr w:type="spellStart"/>
      <w:r w:rsidRPr="00291FE1">
        <w:rPr>
          <w:rFonts w:eastAsia="FreeSans" w:cs="FreeSans"/>
        </w:rPr>
        <w:t>anaesthesia</w:t>
      </w:r>
      <w:proofErr w:type="spellEnd"/>
      <w:r w:rsidRPr="00291FE1">
        <w:rPr>
          <w:rFonts w:eastAsia="FreeSans" w:cs="FreeSans"/>
        </w:rPr>
        <w:t xml:space="preserve">. A 10-year survey (1967-1976). </w:t>
      </w:r>
      <w:r w:rsidR="00291FE1">
        <w:rPr>
          <w:rFonts w:cs="FreeSansOblique"/>
          <w:i/>
          <w:iCs/>
        </w:rPr>
        <w:t>Br J</w:t>
      </w:r>
      <w:r w:rsidR="00051EA1">
        <w:rPr>
          <w:rFonts w:cs="FreeSansOblique"/>
          <w:i/>
          <w:iCs/>
        </w:rPr>
        <w:t xml:space="preserve"> </w:t>
      </w:r>
      <w:proofErr w:type="spellStart"/>
      <w:r w:rsidRPr="00291FE1">
        <w:rPr>
          <w:rFonts w:cs="FreeSansOblique"/>
          <w:i/>
          <w:iCs/>
        </w:rPr>
        <w:t>Anaesth</w:t>
      </w:r>
      <w:proofErr w:type="spellEnd"/>
      <w:r w:rsidRPr="00291FE1">
        <w:rPr>
          <w:rFonts w:cs="FreeSansOblique"/>
          <w:i/>
          <w:iCs/>
        </w:rPr>
        <w:t xml:space="preserve"> </w:t>
      </w:r>
      <w:r w:rsidRPr="00291FE1">
        <w:rPr>
          <w:rFonts w:eastAsia="FreeSans" w:cs="FreeSans"/>
        </w:rPr>
        <w:t>1978</w:t>
      </w:r>
      <w:r w:rsidR="00051EA1" w:rsidRPr="00291FE1">
        <w:rPr>
          <w:rFonts w:eastAsia="FreeSans" w:cs="FreeSans"/>
        </w:rPr>
        <w:t>; 50:1041</w:t>
      </w:r>
      <w:r w:rsidRPr="00291FE1">
        <w:rPr>
          <w:rFonts w:eastAsia="FreeSans" w:cs="FreeSans"/>
        </w:rPr>
        <w:t>-6.</w:t>
      </w:r>
    </w:p>
    <w:p w:rsidR="009561D1" w:rsidRPr="00051EA1" w:rsidRDefault="003D1479" w:rsidP="00051EA1">
      <w:pPr>
        <w:autoSpaceDE w:val="0"/>
        <w:autoSpaceDN w:val="0"/>
        <w:adjustRightInd w:val="0"/>
        <w:spacing w:after="120" w:line="240" w:lineRule="auto"/>
        <w:rPr>
          <w:rFonts w:cs="FreeSansOblique"/>
          <w:i/>
          <w:iCs/>
        </w:rPr>
      </w:pPr>
      <w:proofErr w:type="spellStart"/>
      <w:r w:rsidRPr="00291FE1">
        <w:rPr>
          <w:rFonts w:eastAsia="FreeSans" w:cs="FreeSans"/>
        </w:rPr>
        <w:t>Lunn</w:t>
      </w:r>
      <w:proofErr w:type="spellEnd"/>
      <w:r w:rsidRPr="00291FE1">
        <w:rPr>
          <w:rFonts w:eastAsia="FreeSans" w:cs="FreeSans"/>
        </w:rPr>
        <w:t xml:space="preserve"> JN, Hunter AR, Scott DB. </w:t>
      </w:r>
      <w:proofErr w:type="spellStart"/>
      <w:r w:rsidRPr="00291FE1">
        <w:rPr>
          <w:rFonts w:eastAsia="FreeSans" w:cs="FreeSans"/>
        </w:rPr>
        <w:t>Anaesthesia</w:t>
      </w:r>
      <w:proofErr w:type="spellEnd"/>
      <w:r w:rsidRPr="00291FE1">
        <w:rPr>
          <w:rFonts w:eastAsia="FreeSans" w:cs="FreeSans"/>
        </w:rPr>
        <w:t xml:space="preserve">-related surgical mortality. </w:t>
      </w:r>
      <w:proofErr w:type="spellStart"/>
      <w:r w:rsidR="00291FE1">
        <w:rPr>
          <w:rFonts w:cs="FreeSansOblique"/>
          <w:i/>
          <w:iCs/>
        </w:rPr>
        <w:t>Anaesthesia</w:t>
      </w:r>
      <w:proofErr w:type="spellEnd"/>
      <w:r w:rsidR="00291FE1">
        <w:rPr>
          <w:rFonts w:cs="FreeSansOblique"/>
          <w:i/>
          <w:iCs/>
        </w:rPr>
        <w:t xml:space="preserve"> </w:t>
      </w:r>
      <w:r w:rsidRPr="00291FE1">
        <w:rPr>
          <w:rFonts w:eastAsia="FreeSans" w:cs="FreeSans"/>
        </w:rPr>
        <w:t>1983</w:t>
      </w:r>
      <w:r w:rsidR="00051EA1" w:rsidRPr="00291FE1">
        <w:rPr>
          <w:rFonts w:eastAsia="FreeSans" w:cs="FreeSans"/>
        </w:rPr>
        <w:t>; 38:1090</w:t>
      </w:r>
      <w:r w:rsidRPr="00291FE1">
        <w:rPr>
          <w:rFonts w:eastAsia="FreeSans" w:cs="FreeSans"/>
        </w:rPr>
        <w:t>-6.</w:t>
      </w:r>
    </w:p>
    <w:p w:rsidR="007B59AC" w:rsidRPr="006C3FD0" w:rsidRDefault="00291FE1" w:rsidP="006C3FD0">
      <w:pPr>
        <w:shd w:val="clear" w:color="auto" w:fill="FFFFFF"/>
        <w:spacing w:after="120" w:line="240" w:lineRule="auto"/>
        <w:textAlignment w:val="baseline"/>
        <w:rPr>
          <w:rFonts w:eastAsia="Times New Roman" w:cs="Arial"/>
        </w:rPr>
      </w:pPr>
      <w:r w:rsidRPr="00291FE1">
        <w:rPr>
          <w:rFonts w:eastAsia="Times New Roman" w:cs="Arial"/>
        </w:rPr>
        <w:t>Grosse-</w:t>
      </w:r>
      <w:proofErr w:type="spellStart"/>
      <w:r w:rsidRPr="00291FE1">
        <w:rPr>
          <w:rFonts w:eastAsia="Times New Roman" w:cs="Arial"/>
        </w:rPr>
        <w:t>Sundrup</w:t>
      </w:r>
      <w:proofErr w:type="spellEnd"/>
      <w:r w:rsidRPr="00291FE1">
        <w:rPr>
          <w:rFonts w:eastAsia="Times New Roman" w:cs="Arial"/>
        </w:rPr>
        <w:t xml:space="preserve"> M, </w:t>
      </w:r>
      <w:proofErr w:type="spellStart"/>
      <w:r w:rsidRPr="00291FE1">
        <w:rPr>
          <w:rFonts w:eastAsia="Times New Roman" w:cs="Arial"/>
        </w:rPr>
        <w:t>Henneman</w:t>
      </w:r>
      <w:proofErr w:type="spellEnd"/>
      <w:r w:rsidRPr="00291FE1">
        <w:rPr>
          <w:rFonts w:eastAsia="Times New Roman" w:cs="Arial"/>
        </w:rPr>
        <w:t xml:space="preserve"> JP, Sandberg WS, Bateman BT, Uribe JV, Nguyen NT, </w:t>
      </w:r>
      <w:proofErr w:type="spellStart"/>
      <w:r w:rsidRPr="00291FE1">
        <w:rPr>
          <w:rFonts w:eastAsia="Times New Roman" w:cs="Arial"/>
        </w:rPr>
        <w:t>Ehrenfeld</w:t>
      </w:r>
      <w:proofErr w:type="spellEnd"/>
      <w:r w:rsidRPr="00291FE1">
        <w:rPr>
          <w:rFonts w:eastAsia="Times New Roman" w:cs="Arial"/>
        </w:rPr>
        <w:t xml:space="preserve"> JM, Martinez EA, </w:t>
      </w:r>
      <w:proofErr w:type="spellStart"/>
      <w:r w:rsidRPr="00291FE1">
        <w:rPr>
          <w:rFonts w:eastAsia="Times New Roman" w:cs="Arial"/>
        </w:rPr>
        <w:t>Kurth</w:t>
      </w:r>
      <w:proofErr w:type="spellEnd"/>
      <w:r w:rsidRPr="00291FE1">
        <w:rPr>
          <w:rFonts w:eastAsia="Times New Roman" w:cs="Arial"/>
        </w:rPr>
        <w:t xml:space="preserve"> T, </w:t>
      </w:r>
      <w:proofErr w:type="spellStart"/>
      <w:r w:rsidRPr="00291FE1">
        <w:rPr>
          <w:rFonts w:eastAsia="Times New Roman" w:cs="Arial"/>
        </w:rPr>
        <w:t>Eikermann</w:t>
      </w:r>
      <w:proofErr w:type="spellEnd"/>
      <w:r w:rsidRPr="00291FE1">
        <w:rPr>
          <w:rFonts w:eastAsia="Times New Roman" w:cs="Arial"/>
        </w:rPr>
        <w:t xml:space="preserve"> M. Intermediate acting non-depolarizing neuromuscular blocking agents and risk of postoperative respiratory complications: prospective propensity score matched c</w:t>
      </w:r>
      <w:r>
        <w:rPr>
          <w:rFonts w:eastAsia="Times New Roman" w:cs="Arial"/>
        </w:rPr>
        <w:t xml:space="preserve">ohort study. </w:t>
      </w:r>
      <w:r w:rsidRPr="00051EA1">
        <w:rPr>
          <w:rFonts w:eastAsia="Times New Roman" w:cs="Arial"/>
          <w:i/>
        </w:rPr>
        <w:t>BMJ</w:t>
      </w:r>
      <w:r>
        <w:rPr>
          <w:rFonts w:eastAsia="Times New Roman" w:cs="Arial"/>
        </w:rPr>
        <w:t xml:space="preserve"> 2012</w:t>
      </w:r>
      <w:r w:rsidR="00051EA1">
        <w:rPr>
          <w:rFonts w:eastAsia="Times New Roman" w:cs="Arial"/>
        </w:rPr>
        <w:t>; 345:e6329</w:t>
      </w:r>
      <w:r w:rsidRPr="00291FE1">
        <w:rPr>
          <w:rFonts w:eastAsia="Times New Roman" w:cs="Arial"/>
        </w:rPr>
        <w:t xml:space="preserve"> </w:t>
      </w:r>
    </w:p>
    <w:sectPr w:rsidR="007B59AC" w:rsidRPr="006C3FD0" w:rsidSect="006C3F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eeSans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FreeSansObliqu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E94CBD"/>
    <w:multiLevelType w:val="multilevel"/>
    <w:tmpl w:val="5A0E2DF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entative="1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entative="1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entative="1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entative="1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entative="1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entative="1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1">
    <w:nsid w:val="300E4CC2"/>
    <w:multiLevelType w:val="hybridMultilevel"/>
    <w:tmpl w:val="C65AFD8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0540CBB"/>
    <w:multiLevelType w:val="hybridMultilevel"/>
    <w:tmpl w:val="20D021B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A907353"/>
    <w:multiLevelType w:val="hybridMultilevel"/>
    <w:tmpl w:val="08ECBAB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75A0E82"/>
    <w:multiLevelType w:val="hybridMultilevel"/>
    <w:tmpl w:val="2A5A2014"/>
    <w:lvl w:ilvl="0" w:tplc="903A989C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8F76BBE"/>
    <w:multiLevelType w:val="hybridMultilevel"/>
    <w:tmpl w:val="2ACC45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1D1"/>
    <w:rsid w:val="00013331"/>
    <w:rsid w:val="00051EA1"/>
    <w:rsid w:val="000F0786"/>
    <w:rsid w:val="00291FE1"/>
    <w:rsid w:val="003D1479"/>
    <w:rsid w:val="005C0596"/>
    <w:rsid w:val="005F38F8"/>
    <w:rsid w:val="0060770B"/>
    <w:rsid w:val="006102FD"/>
    <w:rsid w:val="006C3FD0"/>
    <w:rsid w:val="007B59AC"/>
    <w:rsid w:val="009561D1"/>
    <w:rsid w:val="00B87EAF"/>
    <w:rsid w:val="00BF1053"/>
    <w:rsid w:val="00C966B6"/>
    <w:rsid w:val="00CD6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32CAA5-C097-49B4-8DB4-AF3BA5D6C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91FE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0770B"/>
    <w:pPr>
      <w:spacing w:after="0" w:line="240" w:lineRule="auto"/>
      <w:ind w:left="720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34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1" width="299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763C471C-F795-448A-8901-F33846FCC477}">
  <we:reference id="wa102920437" version="1.3.1.0" store="en-US" storeType="OMEX"/>
  <we:alternateReferences/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Shah, Nirav</dc:creator>
  <cp:keywords/>
  <dc:description/>
  <cp:lastModifiedBy>Shah, Nirav</cp:lastModifiedBy>
  <cp:revision>3</cp:revision>
  <dcterms:created xsi:type="dcterms:W3CDTF">2014-11-06T14:12:00Z</dcterms:created>
  <dcterms:modified xsi:type="dcterms:W3CDTF">2014-11-24T13:34:00Z</dcterms:modified>
</cp:coreProperties>
</file>